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E" w:rsidRDefault="0076708F" w:rsidP="0047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2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="00477D0E" w:rsidRPr="000870DD">
        <w:rPr>
          <w:rFonts w:ascii="Times New Roman" w:hAnsi="Times New Roman" w:cs="Times New Roman"/>
          <w:b/>
          <w:sz w:val="28"/>
          <w:szCs w:val="28"/>
        </w:rPr>
        <w:t xml:space="preserve">для целей </w:t>
      </w:r>
    </w:p>
    <w:p w:rsidR="00477D0E" w:rsidRPr="009155A2" w:rsidRDefault="00477D0E" w:rsidP="0047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DD">
        <w:rPr>
          <w:rFonts w:ascii="Times New Roman" w:hAnsi="Times New Roman" w:cs="Times New Roman"/>
          <w:b/>
          <w:sz w:val="28"/>
          <w:szCs w:val="28"/>
        </w:rPr>
        <w:t>бухгалтерского учета и налогообложения</w:t>
      </w:r>
    </w:p>
    <w:p w:rsidR="00477D0E" w:rsidRPr="00F00CA0" w:rsidRDefault="00477D0E" w:rsidP="00477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A2">
        <w:rPr>
          <w:rFonts w:ascii="Times New Roman" w:hAnsi="Times New Roman" w:cs="Times New Roman"/>
          <w:b/>
          <w:sz w:val="28"/>
          <w:szCs w:val="28"/>
        </w:rPr>
        <w:t>Московской областной организации</w:t>
      </w:r>
      <w:r w:rsidRPr="00F00CA0">
        <w:t xml:space="preserve"> </w:t>
      </w:r>
      <w:r w:rsidRPr="00F00CA0">
        <w:rPr>
          <w:rFonts w:ascii="Times New Roman" w:hAnsi="Times New Roman" w:cs="Times New Roman"/>
          <w:b/>
          <w:sz w:val="28"/>
          <w:szCs w:val="28"/>
        </w:rPr>
        <w:t>Общероссийского</w:t>
      </w:r>
      <w:r w:rsidRPr="0008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A2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9709E4" w:rsidRDefault="00477D0E" w:rsidP="00477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A0">
        <w:rPr>
          <w:rFonts w:ascii="Times New Roman" w:hAnsi="Times New Roman" w:cs="Times New Roman"/>
          <w:b/>
          <w:sz w:val="28"/>
          <w:szCs w:val="28"/>
        </w:rPr>
        <w:t>работников государственных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A0">
        <w:rPr>
          <w:rFonts w:ascii="Times New Roman" w:hAnsi="Times New Roman" w:cs="Times New Roman"/>
          <w:b/>
          <w:sz w:val="28"/>
          <w:szCs w:val="28"/>
        </w:rPr>
        <w:t>и общественного обслуживания РФ</w:t>
      </w:r>
    </w:p>
    <w:p w:rsidR="00477D0E" w:rsidRPr="00477D0E" w:rsidRDefault="00477D0E" w:rsidP="00477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30B2" w:rsidRDefault="002A30B2" w:rsidP="002A30B2">
      <w:pPr>
        <w:rPr>
          <w:rFonts w:ascii="Times New Roman" w:hAnsi="Times New Roman" w:cs="Times New Roman"/>
          <w:i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 w:rsidR="00F217A1">
        <w:rPr>
          <w:rFonts w:ascii="Times New Roman" w:hAnsi="Times New Roman" w:cs="Times New Roman"/>
          <w:sz w:val="28"/>
          <w:szCs w:val="28"/>
        </w:rPr>
        <w:t>Президиума Московской областной организации</w:t>
      </w:r>
      <w:r w:rsidR="009709E4" w:rsidRPr="002A30B2">
        <w:rPr>
          <w:rFonts w:ascii="Times New Roman" w:hAnsi="Times New Roman" w:cs="Times New Roman"/>
          <w:sz w:val="28"/>
          <w:szCs w:val="28"/>
        </w:rPr>
        <w:t>:</w:t>
      </w:r>
      <w:r w:rsidR="009C5902" w:rsidRPr="002A30B2">
        <w:rPr>
          <w:rFonts w:ascii="Times New Roman" w:hAnsi="Times New Roman" w:cs="Times New Roman"/>
          <w:sz w:val="28"/>
          <w:szCs w:val="28"/>
        </w:rPr>
        <w:t xml:space="preserve"> 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6C">
        <w:rPr>
          <w:rFonts w:ascii="Times New Roman" w:hAnsi="Times New Roman" w:cs="Times New Roman"/>
          <w:b/>
          <w:sz w:val="28"/>
          <w:szCs w:val="28"/>
        </w:rPr>
        <w:t>15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FF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106E6C">
        <w:rPr>
          <w:rFonts w:ascii="Times New Roman" w:hAnsi="Times New Roman" w:cs="Times New Roman"/>
          <w:b/>
          <w:sz w:val="28"/>
          <w:szCs w:val="28"/>
        </w:rPr>
        <w:t>23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0B2">
        <w:rPr>
          <w:rFonts w:ascii="Times New Roman" w:hAnsi="Times New Roman" w:cs="Times New Roman"/>
          <w:b/>
          <w:sz w:val="28"/>
          <w:szCs w:val="28"/>
        </w:rPr>
        <w:t>»</w:t>
      </w:r>
      <w:r w:rsidR="00106E6C">
        <w:rPr>
          <w:rFonts w:ascii="Times New Roman" w:hAnsi="Times New Roman" w:cs="Times New Roman"/>
          <w:b/>
          <w:sz w:val="28"/>
          <w:szCs w:val="28"/>
        </w:rPr>
        <w:t xml:space="preserve"> ноября 2023</w:t>
      </w:r>
      <w:r w:rsidRPr="002A30B2">
        <w:rPr>
          <w:rFonts w:ascii="Times New Roman" w:hAnsi="Times New Roman" w:cs="Times New Roman"/>
          <w:b/>
          <w:sz w:val="28"/>
          <w:szCs w:val="28"/>
        </w:rPr>
        <w:t>г.</w:t>
      </w:r>
      <w:r w:rsidR="009C5902" w:rsidRPr="002A30B2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A30B2" w:rsidRPr="002A30B2" w:rsidRDefault="002A30B2" w:rsidP="00262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B2">
        <w:rPr>
          <w:rFonts w:ascii="Times New Roman" w:hAnsi="Times New Roman" w:cs="Times New Roman"/>
          <w:iCs/>
          <w:sz w:val="28"/>
          <w:szCs w:val="28"/>
        </w:rPr>
        <w:t xml:space="preserve"> Общие </w:t>
      </w:r>
      <w:r w:rsidR="009C5902" w:rsidRPr="002A30B2">
        <w:rPr>
          <w:rFonts w:ascii="Times New Roman" w:hAnsi="Times New Roman" w:cs="Times New Roman"/>
          <w:iCs/>
          <w:sz w:val="28"/>
          <w:szCs w:val="28"/>
        </w:rPr>
        <w:t>положения</w:t>
      </w:r>
    </w:p>
    <w:p w:rsidR="009C5902" w:rsidRDefault="002A30B2" w:rsidP="0026230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421"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A1635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</w:t>
      </w:r>
      <w:r w:rsidR="00375547">
        <w:rPr>
          <w:rFonts w:ascii="Times New Roman" w:hAnsi="Times New Roman" w:cs="Times New Roman"/>
          <w:sz w:val="28"/>
          <w:szCs w:val="28"/>
        </w:rPr>
        <w:t>П</w:t>
      </w:r>
      <w:r w:rsidR="009C5902" w:rsidRPr="007B7421">
        <w:rPr>
          <w:rFonts w:ascii="Times New Roman" w:hAnsi="Times New Roman" w:cs="Times New Roman"/>
          <w:sz w:val="28"/>
          <w:szCs w:val="28"/>
        </w:rPr>
        <w:t>рофсоюза работников государственных учреждений и общественного обслуживания РФ  является некоммерческой общественной организацией с правом юридического лица</w:t>
      </w:r>
      <w:r w:rsidR="00D51E2D" w:rsidRPr="007B7421">
        <w:rPr>
          <w:rFonts w:ascii="Times New Roman" w:hAnsi="Times New Roman" w:cs="Times New Roman"/>
          <w:sz w:val="28"/>
          <w:szCs w:val="28"/>
        </w:rPr>
        <w:t xml:space="preserve"> 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(Св. о регистрации № </w:t>
      </w:r>
      <w:r w:rsidR="009C5902" w:rsidRPr="00BA1635">
        <w:rPr>
          <w:rFonts w:ascii="Times New Roman" w:hAnsi="Times New Roman" w:cs="Times New Roman"/>
          <w:color w:val="000000" w:themeColor="text1"/>
          <w:sz w:val="28"/>
          <w:szCs w:val="28"/>
        </w:rPr>
        <w:t>1035000003499 д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ата выдачи </w:t>
      </w:r>
      <w:r w:rsidR="009C5902" w:rsidRPr="00BA1635">
        <w:rPr>
          <w:rFonts w:ascii="Times New Roman" w:hAnsi="Times New Roman" w:cs="Times New Roman"/>
          <w:color w:val="000000" w:themeColor="text1"/>
          <w:sz w:val="28"/>
          <w:szCs w:val="28"/>
        </w:rPr>
        <w:t>05.02.2003 г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.), осуществляющая свою деятельность на основании Устава </w:t>
      </w:r>
      <w:r w:rsidR="00375547"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D51E2D" w:rsidRPr="007B7421">
        <w:rPr>
          <w:rFonts w:ascii="Times New Roman" w:hAnsi="Times New Roman" w:cs="Times New Roman"/>
          <w:sz w:val="28"/>
          <w:szCs w:val="28"/>
        </w:rPr>
        <w:t>рофессионального союза работников государственных учреждений и общественного обслуживания Российской Федерации</w:t>
      </w:r>
      <w:r w:rsidR="009C5902" w:rsidRPr="007B7421">
        <w:rPr>
          <w:rFonts w:ascii="Times New Roman" w:hAnsi="Times New Roman" w:cs="Times New Roman"/>
          <w:sz w:val="28"/>
          <w:szCs w:val="28"/>
        </w:rPr>
        <w:t>, зарегистрированного в Минюсте РФ №</w:t>
      </w:r>
      <w:r w:rsidR="00D51E2D" w:rsidRPr="007B7421">
        <w:rPr>
          <w:rFonts w:ascii="Times New Roman" w:hAnsi="Times New Roman" w:cs="Times New Roman"/>
          <w:sz w:val="28"/>
          <w:szCs w:val="28"/>
        </w:rPr>
        <w:t xml:space="preserve">2167700077136 от 10 февраля 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201</w:t>
      </w:r>
      <w:r w:rsidR="00BA1635">
        <w:rPr>
          <w:rFonts w:ascii="Times New Roman" w:hAnsi="Times New Roman" w:cs="Times New Roman"/>
          <w:sz w:val="28"/>
          <w:szCs w:val="28"/>
        </w:rPr>
        <w:t>6</w:t>
      </w:r>
      <w:r w:rsidR="009C5902" w:rsidRPr="007B742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F1667D" w:rsidRDefault="007B7421" w:rsidP="008C63D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421">
        <w:rPr>
          <w:rFonts w:ascii="Times New Roman" w:hAnsi="Times New Roman" w:cs="Times New Roman"/>
          <w:sz w:val="28"/>
          <w:szCs w:val="28"/>
        </w:rPr>
        <w:t xml:space="preserve">Финансово-хозяйственная </w:t>
      </w:r>
      <w:r w:rsidR="00375547">
        <w:rPr>
          <w:rFonts w:ascii="Times New Roman" w:hAnsi="Times New Roman" w:cs="Times New Roman"/>
          <w:sz w:val="28"/>
          <w:szCs w:val="28"/>
        </w:rPr>
        <w:t>деятельность П</w:t>
      </w:r>
      <w:r w:rsidRPr="007B7421">
        <w:rPr>
          <w:rFonts w:ascii="Times New Roman" w:hAnsi="Times New Roman" w:cs="Times New Roman"/>
          <w:sz w:val="28"/>
          <w:szCs w:val="28"/>
        </w:rPr>
        <w:t>рофсоюзной организации осуществляется согласно смете доходов и расходов, составляемой на год и утве</w:t>
      </w:r>
      <w:r w:rsidR="00BA1635">
        <w:rPr>
          <w:rFonts w:ascii="Times New Roman" w:hAnsi="Times New Roman" w:cs="Times New Roman"/>
          <w:sz w:val="28"/>
          <w:szCs w:val="28"/>
        </w:rPr>
        <w:t>рждаемой Областным</w:t>
      </w:r>
      <w:r w:rsidR="00375547">
        <w:rPr>
          <w:rFonts w:ascii="Times New Roman" w:hAnsi="Times New Roman" w:cs="Times New Roman"/>
          <w:sz w:val="28"/>
          <w:szCs w:val="28"/>
        </w:rPr>
        <w:t xml:space="preserve"> комитетом П</w:t>
      </w:r>
      <w:r w:rsidR="00BA1635">
        <w:rPr>
          <w:rFonts w:ascii="Times New Roman" w:hAnsi="Times New Roman" w:cs="Times New Roman"/>
          <w:sz w:val="28"/>
          <w:szCs w:val="28"/>
        </w:rPr>
        <w:t>рофсоюза. И</w:t>
      </w:r>
      <w:r w:rsidRPr="007B7421">
        <w:rPr>
          <w:rFonts w:ascii="Times New Roman" w:hAnsi="Times New Roman" w:cs="Times New Roman"/>
          <w:sz w:val="28"/>
          <w:szCs w:val="28"/>
        </w:rPr>
        <w:t>сточником формирования доходной части сметы являются:</w:t>
      </w:r>
    </w:p>
    <w:p w:rsidR="00F1667D" w:rsidRDefault="00F1667D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взносы;</w:t>
      </w:r>
    </w:p>
    <w:p w:rsidR="00F1667D" w:rsidRDefault="00F1667D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21" w:rsidRPr="00F1667D">
        <w:rPr>
          <w:rFonts w:ascii="Times New Roman" w:hAnsi="Times New Roman" w:cs="Times New Roman"/>
          <w:sz w:val="28"/>
          <w:szCs w:val="28"/>
        </w:rPr>
        <w:t xml:space="preserve"> денежные средства работников, не являющихся членами Профсоюза (ст. 30 ТК РФ и ст. 28 ФЗ «О профессиональных союзах, их права</w:t>
      </w:r>
      <w:r>
        <w:rPr>
          <w:rFonts w:ascii="Times New Roman" w:hAnsi="Times New Roman" w:cs="Times New Roman"/>
          <w:sz w:val="28"/>
          <w:szCs w:val="28"/>
        </w:rPr>
        <w:t>х и гарантиях деятельности»;</w:t>
      </w:r>
    </w:p>
    <w:p w:rsidR="00F1667D" w:rsidRPr="00BA1635" w:rsidRDefault="007B7421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 поступления от </w:t>
      </w:r>
      <w:r w:rsidR="00BA1635">
        <w:rPr>
          <w:rFonts w:ascii="Times New Roman" w:hAnsi="Times New Roman" w:cs="Times New Roman"/>
          <w:sz w:val="28"/>
          <w:szCs w:val="28"/>
        </w:rPr>
        <w:t xml:space="preserve">работодателей на </w:t>
      </w:r>
      <w:r w:rsidRPr="00F1667D">
        <w:rPr>
          <w:rFonts w:ascii="Times New Roman" w:hAnsi="Times New Roman" w:cs="Times New Roman"/>
          <w:sz w:val="28"/>
          <w:szCs w:val="28"/>
        </w:rPr>
        <w:t>культурно-</w:t>
      </w:r>
      <w:r w:rsidR="00BA1635">
        <w:rPr>
          <w:rFonts w:ascii="Times New Roman" w:hAnsi="Times New Roman" w:cs="Times New Roman"/>
          <w:sz w:val="28"/>
          <w:szCs w:val="28"/>
        </w:rPr>
        <w:t>массовые</w:t>
      </w:r>
      <w:r w:rsidRPr="00F1667D">
        <w:rPr>
          <w:rFonts w:ascii="Times New Roman" w:hAnsi="Times New Roman" w:cs="Times New Roman"/>
          <w:sz w:val="28"/>
          <w:szCs w:val="28"/>
        </w:rPr>
        <w:t>, спортивны</w:t>
      </w:r>
      <w:r w:rsidR="00BA1635">
        <w:rPr>
          <w:rFonts w:ascii="Times New Roman" w:hAnsi="Times New Roman" w:cs="Times New Roman"/>
          <w:sz w:val="28"/>
          <w:szCs w:val="28"/>
        </w:rPr>
        <w:t>е</w:t>
      </w:r>
      <w:r w:rsidRPr="00F1667D">
        <w:rPr>
          <w:rFonts w:ascii="Times New Roman" w:hAnsi="Times New Roman" w:cs="Times New Roman"/>
          <w:sz w:val="28"/>
          <w:szCs w:val="28"/>
        </w:rPr>
        <w:t xml:space="preserve"> </w:t>
      </w:r>
      <w:r w:rsidR="00F1667D">
        <w:rPr>
          <w:rFonts w:ascii="Times New Roman" w:hAnsi="Times New Roman" w:cs="Times New Roman"/>
          <w:sz w:val="28"/>
          <w:szCs w:val="28"/>
        </w:rPr>
        <w:t>и</w:t>
      </w:r>
      <w:r w:rsidRPr="00F1667D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BA1635">
        <w:rPr>
          <w:rFonts w:ascii="Times New Roman" w:hAnsi="Times New Roman" w:cs="Times New Roman"/>
          <w:sz w:val="28"/>
          <w:szCs w:val="28"/>
        </w:rPr>
        <w:t>е</w:t>
      </w:r>
      <w:r w:rsidRPr="00F166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A1635">
        <w:rPr>
          <w:rFonts w:ascii="Times New Roman" w:hAnsi="Times New Roman" w:cs="Times New Roman"/>
          <w:sz w:val="28"/>
          <w:szCs w:val="28"/>
        </w:rPr>
        <w:t>я</w:t>
      </w:r>
      <w:r w:rsidRPr="00F1667D">
        <w:rPr>
          <w:rFonts w:ascii="Times New Roman" w:hAnsi="Times New Roman" w:cs="Times New Roman"/>
          <w:sz w:val="28"/>
          <w:szCs w:val="28"/>
        </w:rPr>
        <w:t xml:space="preserve">; </w:t>
      </w:r>
      <w:r w:rsidRPr="00B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7D" w:rsidRDefault="007B7421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 целевые денежные средства, отчисляемые работодателем в соответствии с коллективными договорами и соглашениями на уставную деятельность (ст. 377 ТК РФ);</w:t>
      </w:r>
    </w:p>
    <w:p w:rsidR="00F1667D" w:rsidRDefault="007B7421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добровольные взносы и пожертвования; </w:t>
      </w:r>
    </w:p>
    <w:p w:rsidR="00F1667D" w:rsidRDefault="007B7421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 xml:space="preserve">доходы в виде имущества, полученного в рамках целевого финансирования, в том числе в результате получения грантов; </w:t>
      </w:r>
    </w:p>
    <w:p w:rsidR="008C63D9" w:rsidRDefault="00BA1635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 xml:space="preserve"> </w:t>
      </w:r>
      <w:r w:rsidR="007B7421" w:rsidRPr="00BA1635">
        <w:rPr>
          <w:rFonts w:ascii="Times New Roman" w:hAnsi="Times New Roman" w:cs="Times New Roman"/>
          <w:sz w:val="28"/>
          <w:szCs w:val="28"/>
        </w:rPr>
        <w:t xml:space="preserve">иные источники, не запрещенные законодательством РФ, предусмотренные Уставом профсоюзной организации. </w:t>
      </w:r>
    </w:p>
    <w:p w:rsidR="00BA1635" w:rsidRPr="00BA1635" w:rsidRDefault="00BA1635" w:rsidP="00BA16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1683C" w:rsidRDefault="007B7421" w:rsidP="0051683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>Ф</w:t>
      </w:r>
      <w:r w:rsidR="00375547">
        <w:rPr>
          <w:rFonts w:ascii="Times New Roman" w:hAnsi="Times New Roman" w:cs="Times New Roman"/>
          <w:sz w:val="28"/>
          <w:szCs w:val="28"/>
        </w:rPr>
        <w:t>орма сметы П</w:t>
      </w:r>
      <w:r w:rsidRPr="0051683C">
        <w:rPr>
          <w:rFonts w:ascii="Times New Roman" w:hAnsi="Times New Roman" w:cs="Times New Roman"/>
          <w:sz w:val="28"/>
          <w:szCs w:val="28"/>
        </w:rPr>
        <w:t>рофсоюзной организации (Приложение 1).</w:t>
      </w:r>
    </w:p>
    <w:p w:rsidR="0051683C" w:rsidRPr="008C63D9" w:rsidRDefault="007B7421" w:rsidP="00F217A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1635">
        <w:rPr>
          <w:rFonts w:ascii="Times New Roman" w:hAnsi="Times New Roman" w:cs="Times New Roman"/>
          <w:sz w:val="28"/>
          <w:szCs w:val="28"/>
        </w:rPr>
        <w:lastRenderedPageBreak/>
        <w:t xml:space="preserve">Учетная политика утверждается </w:t>
      </w:r>
      <w:r w:rsidR="00F217A1" w:rsidRPr="00BA1635">
        <w:rPr>
          <w:rFonts w:ascii="Times New Roman" w:hAnsi="Times New Roman" w:cs="Times New Roman"/>
          <w:sz w:val="28"/>
          <w:szCs w:val="28"/>
        </w:rPr>
        <w:t>на заседании Президиума Мо</w:t>
      </w:r>
      <w:r w:rsidR="00375547" w:rsidRPr="00BA1635">
        <w:rPr>
          <w:rFonts w:ascii="Times New Roman" w:hAnsi="Times New Roman" w:cs="Times New Roman"/>
          <w:sz w:val="28"/>
          <w:szCs w:val="28"/>
        </w:rPr>
        <w:t>сковской областной организации П</w:t>
      </w:r>
      <w:r w:rsidR="00F217A1" w:rsidRPr="00BA1635">
        <w:rPr>
          <w:rFonts w:ascii="Times New Roman" w:hAnsi="Times New Roman" w:cs="Times New Roman"/>
          <w:sz w:val="28"/>
          <w:szCs w:val="28"/>
        </w:rPr>
        <w:t>рофсоюза</w:t>
      </w:r>
      <w:r w:rsidR="00BA1635" w:rsidRPr="00BA1635">
        <w:rPr>
          <w:rFonts w:ascii="Times New Roman" w:hAnsi="Times New Roman" w:cs="Times New Roman"/>
          <w:sz w:val="28"/>
          <w:szCs w:val="28"/>
        </w:rPr>
        <w:t xml:space="preserve"> </w:t>
      </w:r>
      <w:r w:rsidRPr="00BA1635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r w:rsidR="00BA1635" w:rsidRPr="00BA1635">
        <w:rPr>
          <w:rFonts w:ascii="Times New Roman" w:hAnsi="Times New Roman" w:cs="Times New Roman"/>
          <w:sz w:val="28"/>
          <w:szCs w:val="28"/>
        </w:rPr>
        <w:t xml:space="preserve"> последовательно из года в год до внесения в нее изменений.</w:t>
      </w:r>
      <w:r w:rsidR="00F217A1" w:rsidRPr="00BA1635">
        <w:rPr>
          <w:rFonts w:ascii="Times New Roman" w:hAnsi="Times New Roman" w:cs="Times New Roman"/>
          <w:sz w:val="28"/>
          <w:szCs w:val="28"/>
        </w:rPr>
        <w:t xml:space="preserve"> (Устав ст. VIII, п.90,</w:t>
      </w:r>
      <w:r w:rsidR="00F2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17A1">
        <w:rPr>
          <w:rFonts w:ascii="Times New Roman" w:hAnsi="Times New Roman" w:cs="Times New Roman"/>
          <w:sz w:val="28"/>
          <w:szCs w:val="28"/>
        </w:rPr>
        <w:t>. 8)</w:t>
      </w:r>
    </w:p>
    <w:p w:rsidR="0051683C" w:rsidRDefault="00375547" w:rsidP="00DC2DD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DC2DD2">
        <w:rPr>
          <w:rFonts w:ascii="Times New Roman" w:hAnsi="Times New Roman" w:cs="Times New Roman"/>
          <w:sz w:val="28"/>
          <w:szCs w:val="28"/>
        </w:rPr>
        <w:t>Областной</w:t>
      </w:r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организации подчиняетс</w:t>
      </w:r>
      <w:r>
        <w:rPr>
          <w:rFonts w:ascii="Times New Roman" w:hAnsi="Times New Roman" w:cs="Times New Roman"/>
          <w:sz w:val="28"/>
          <w:szCs w:val="28"/>
        </w:rPr>
        <w:t xml:space="preserve">я непосредственно председателю </w:t>
      </w:r>
      <w:r w:rsidR="00DC2DD2" w:rsidRPr="00DC2DD2">
        <w:rPr>
          <w:rFonts w:ascii="Times New Roman" w:hAnsi="Times New Roman" w:cs="Times New Roman"/>
          <w:sz w:val="28"/>
          <w:szCs w:val="28"/>
        </w:rPr>
        <w:t>Областной</w:t>
      </w:r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 отчетности, обеспечивает соответствие осуществляемых фактов хозяйственной жизни законодательству Российской Федерации, </w:t>
      </w:r>
      <w:proofErr w:type="gramStart"/>
      <w:r w:rsidR="007B7421" w:rsidRPr="00516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движением имущества и выполнением обязательств.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 Требования главного бухгалтера по документальному оформлению хозяйственных операций и представлению в </w:t>
      </w:r>
      <w:r w:rsidR="00DC2DD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документов и сведений обязательны для всех работников. Без подписи главного бухгалтера</w:t>
      </w:r>
      <w:r w:rsidR="00DC2DD2">
        <w:rPr>
          <w:rFonts w:ascii="Times New Roman" w:hAnsi="Times New Roman" w:cs="Times New Roman"/>
          <w:sz w:val="28"/>
          <w:szCs w:val="28"/>
        </w:rPr>
        <w:t xml:space="preserve"> или иного лица, обладающего правом второй подписи в учреждениях банка, 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денежные и расчетные документы, финансовые и кредитные обязательства считаются недействительными и не принимаются к исполнению.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 Главный бухгалтер не имеет права принимать к исполнению документы, противоречащие законодательству Российской Федерации.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3C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в отношении ведения бухгалтерского учета между председателем и главным бухгалтером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организации: 1) данные, содержащиеся в первичном учетном документе, принимаются (не принимаются) главным бухгалтером, к регистрации и накоплению в регистрах бухгалтерского учета по письменному распоряжению председателя профсоюзной организации, который единолично несет ответственность за созданную в результате этого информацию;</w:t>
      </w:r>
      <w:proofErr w:type="gramEnd"/>
      <w:r w:rsidRPr="0051683C">
        <w:rPr>
          <w:rFonts w:ascii="Times New Roman" w:hAnsi="Times New Roman" w:cs="Times New Roman"/>
          <w:sz w:val="28"/>
          <w:szCs w:val="28"/>
        </w:rPr>
        <w:t xml:space="preserve"> 2) объект бухгалтерского учета отражается (не отражается) главным бухгалтером в бухгалтерской (финансовой) отчетности на основании письмен</w:t>
      </w:r>
      <w:r w:rsidR="00375547">
        <w:rPr>
          <w:rFonts w:ascii="Times New Roman" w:hAnsi="Times New Roman" w:cs="Times New Roman"/>
          <w:sz w:val="28"/>
          <w:szCs w:val="28"/>
        </w:rPr>
        <w:t xml:space="preserve">ного распоряжения председателя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организации, который единолично несет ответственность за достоверность представления финансового положения на отчетную дату, финансового результата его деятельности и движения денежных средств за отчетный период. </w:t>
      </w:r>
    </w:p>
    <w:p w:rsidR="007B7421" w:rsidRP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3C">
        <w:rPr>
          <w:rFonts w:ascii="Times New Roman" w:hAnsi="Times New Roman" w:cs="Times New Roman"/>
          <w:sz w:val="28"/>
          <w:szCs w:val="28"/>
        </w:rPr>
        <w:t xml:space="preserve"> осуществлением фактов хозяйственной жизни осуществляется контрольно-ревизионной комиссией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75547">
        <w:rPr>
          <w:rFonts w:ascii="Times New Roman" w:hAnsi="Times New Roman" w:cs="Times New Roman"/>
          <w:sz w:val="28"/>
          <w:szCs w:val="28"/>
        </w:rPr>
        <w:t>зации в соответствии с Уставом П</w:t>
      </w:r>
      <w:r w:rsidR="005F40AC">
        <w:rPr>
          <w:rFonts w:ascii="Times New Roman" w:hAnsi="Times New Roman" w:cs="Times New Roman"/>
          <w:sz w:val="28"/>
          <w:szCs w:val="28"/>
        </w:rPr>
        <w:t>рофсоюза</w:t>
      </w:r>
      <w:r w:rsidRPr="0051683C">
        <w:rPr>
          <w:rFonts w:ascii="Times New Roman" w:hAnsi="Times New Roman" w:cs="Times New Roman"/>
          <w:sz w:val="28"/>
          <w:szCs w:val="28"/>
        </w:rPr>
        <w:t>.</w:t>
      </w:r>
    </w:p>
    <w:p w:rsidR="00B335E1" w:rsidRPr="007B7421" w:rsidRDefault="00B335E1" w:rsidP="007B742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421">
        <w:rPr>
          <w:rFonts w:ascii="Times New Roman" w:hAnsi="Times New Roman" w:cs="Times New Roman"/>
          <w:sz w:val="28"/>
          <w:szCs w:val="28"/>
          <w:u w:val="single"/>
        </w:rPr>
        <w:t>В своей деятельности организация использует следующие законодательные и нормативные документы: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06.12.2011 N 402-ФЗ "О бухгалтерском учете";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Минфина РФ от 09.12.98г. №60н;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 xml:space="preserve">ПБУ 1/2008 «Учетная политика», </w:t>
      </w:r>
      <w:proofErr w:type="gramStart"/>
      <w:r w:rsidRPr="002A30B2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A30B2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06.10.2008 № 106н;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 xml:space="preserve">ПБУ 4/99 «Бухгалтерская отчетность организации», </w:t>
      </w:r>
      <w:proofErr w:type="gramStart"/>
      <w:r w:rsidRPr="002A30B2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A30B2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06.07.1999 № 43н;</w:t>
      </w:r>
    </w:p>
    <w:p w:rsidR="00B335E1" w:rsidRDefault="001363AC" w:rsidP="001363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AC">
        <w:rPr>
          <w:rFonts w:ascii="Times New Roman" w:hAnsi="Times New Roman" w:cs="Times New Roman"/>
          <w:sz w:val="28"/>
          <w:szCs w:val="28"/>
        </w:rPr>
        <w:t>ФСБУ 6/2020 "Основные средства"</w:t>
      </w:r>
      <w:r w:rsidR="00B335E1" w:rsidRPr="002A30B2">
        <w:rPr>
          <w:rFonts w:ascii="Times New Roman" w:hAnsi="Times New Roman" w:cs="Times New Roman"/>
          <w:sz w:val="28"/>
          <w:szCs w:val="28"/>
        </w:rPr>
        <w:t>;</w:t>
      </w:r>
    </w:p>
    <w:p w:rsidR="001363AC" w:rsidRDefault="001363AC" w:rsidP="001363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AC">
        <w:rPr>
          <w:rFonts w:ascii="Times New Roman" w:hAnsi="Times New Roman" w:cs="Times New Roman"/>
          <w:sz w:val="28"/>
          <w:szCs w:val="28"/>
        </w:rPr>
        <w:t>ФСБУ 26/2020 «Капитальные вложения»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AC" w:rsidRDefault="00375547" w:rsidP="0037554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47">
        <w:rPr>
          <w:rFonts w:ascii="Times New Roman" w:hAnsi="Times New Roman" w:cs="Times New Roman"/>
          <w:sz w:val="28"/>
          <w:szCs w:val="28"/>
        </w:rPr>
        <w:t>ФСБУ 25/2</w:t>
      </w:r>
      <w:r>
        <w:rPr>
          <w:rFonts w:ascii="Times New Roman" w:hAnsi="Times New Roman" w:cs="Times New Roman"/>
          <w:sz w:val="28"/>
          <w:szCs w:val="28"/>
        </w:rPr>
        <w:t>018 «Бухгалтерский учет аренды»;</w:t>
      </w:r>
    </w:p>
    <w:p w:rsidR="008742DA" w:rsidRPr="00525C30" w:rsidRDefault="008742DA" w:rsidP="008742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ФСБУ 5/2019 «Запасы»</w:t>
      </w:r>
    </w:p>
    <w:p w:rsidR="003F68A8" w:rsidRPr="00525C30" w:rsidRDefault="003F68A8" w:rsidP="003F68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ФСБУ «Некоммерческая деятельность»</w:t>
      </w:r>
    </w:p>
    <w:p w:rsidR="003D2630" w:rsidRPr="00525C30" w:rsidRDefault="003D2630" w:rsidP="003D26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ФСБУ 27/2021 «Документы и документооборот в бухгалтерском учете»</w:t>
      </w:r>
    </w:p>
    <w:p w:rsidR="00B335E1" w:rsidRPr="00525C30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 xml:space="preserve">ПБУ 9/99 «Доходы организации», </w:t>
      </w:r>
      <w:proofErr w:type="gramStart"/>
      <w:r w:rsidRPr="00525C3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525C30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06.05.1999 № 32н;</w:t>
      </w:r>
    </w:p>
    <w:p w:rsidR="00B335E1" w:rsidRPr="00525C30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 xml:space="preserve">ПБУ 10/99 «Расходы организации», </w:t>
      </w:r>
      <w:proofErr w:type="gramStart"/>
      <w:r w:rsidRPr="00525C3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525C30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06.05.1999 № 33н;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22/2010 «Исправление ошибок в бухгалтерском учете и отчетности», утвержденное Приказом Приказ Минфина России от 28.06.2010 № 63н;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 и Инструкция по его применению, утвержденные приказом Минфина РФ от 31.10.2000г. №94н;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Налоговый кодекс РФ, части первая и вторая;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Другие нормативные документы с учетом последующих изменений и дополнений. </w:t>
      </w:r>
    </w:p>
    <w:p w:rsidR="004E4172" w:rsidRPr="004E4172" w:rsidRDefault="00B335E1" w:rsidP="004E41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E4172">
        <w:rPr>
          <w:rFonts w:ascii="Times New Roman" w:hAnsi="Times New Roman" w:cs="Times New Roman"/>
          <w:i/>
          <w:iCs/>
          <w:sz w:val="28"/>
          <w:szCs w:val="28"/>
        </w:rPr>
        <w:t>Организация и техника ведения бухгалтерского учета</w:t>
      </w:r>
    </w:p>
    <w:p w:rsid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Бухгалтерский учет, формы и способы его ведения осуществляются на основании законодательных и нормативных правовых актов по бухгалтерскому учету.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Так же организация руководствуется отраслевыми и ведомственными документами, условиями договоров и соглашений, заключенными с другими лицами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рамках своей уставной деятельности.</w:t>
      </w:r>
    </w:p>
    <w:p w:rsidR="004E4172" w:rsidRDefault="004E4172" w:rsidP="005F40A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lastRenderedPageBreak/>
        <w:t xml:space="preserve"> Ведение бухгалтерского учета и составление бухгалтерской (финансовой) отчетности, отражающей достоверное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финансовом положении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4E4172">
        <w:rPr>
          <w:rFonts w:ascii="Times New Roman" w:hAnsi="Times New Roman" w:cs="Times New Roman"/>
          <w:sz w:val="28"/>
          <w:szCs w:val="28"/>
        </w:rPr>
        <w:t xml:space="preserve"> организации на отчетную дату, финансовом результате его деятельности и движении денежных средств за отчетный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4E4172">
        <w:rPr>
          <w:rFonts w:ascii="Times New Roman" w:hAnsi="Times New Roman" w:cs="Times New Roman"/>
          <w:sz w:val="28"/>
          <w:szCs w:val="28"/>
        </w:rPr>
        <w:t xml:space="preserve"> как структурным подразделением, возглавляемым главным бухгалтером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осуществляется исходя из допущений: имущественной обособленности организации, непрерывности деятельности, временной определенности факторов хозяйственной деятельности.</w:t>
      </w:r>
    </w:p>
    <w:p w:rsidR="004E4172" w:rsidRDefault="004E4172" w:rsidP="005F40A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Обязанности кассира в организации возлагаются на бухгалтера. Возложение обязанности кассира осуществля</w:t>
      </w:r>
      <w:r w:rsidR="005F40AC">
        <w:rPr>
          <w:rFonts w:ascii="Times New Roman" w:hAnsi="Times New Roman" w:cs="Times New Roman"/>
          <w:sz w:val="28"/>
          <w:szCs w:val="28"/>
        </w:rPr>
        <w:t>ется на основании распоряжения П</w:t>
      </w:r>
      <w:r w:rsidRPr="004E417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E4172" w:rsidRP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Бухгалтерский учет объектов бухгалтерского учета ведется посредством</w:t>
      </w:r>
    </w:p>
    <w:p w:rsidR="00C1498E" w:rsidRPr="00C1498E" w:rsidRDefault="004E4172" w:rsidP="00C149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двойной записи, на взаимосвязанных счетах бухгалтерского учета,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 финансово-хозяйственной деятельности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8A8">
        <w:rPr>
          <w:rFonts w:ascii="Times New Roman" w:hAnsi="Times New Roman" w:cs="Times New Roman"/>
          <w:sz w:val="28"/>
          <w:szCs w:val="28"/>
        </w:rPr>
        <w:t xml:space="preserve"> План счетов разработан</w:t>
      </w:r>
      <w:r w:rsidR="00C1498E">
        <w:rPr>
          <w:rFonts w:ascii="Times New Roman" w:hAnsi="Times New Roman" w:cs="Times New Roman"/>
          <w:sz w:val="28"/>
          <w:szCs w:val="28"/>
        </w:rPr>
        <w:t xml:space="preserve"> на основе утвержденного Минфином плана счетов с учетом специфических требований применяемых </w:t>
      </w:r>
      <w:r w:rsidR="00C1498E" w:rsidRPr="00C1498E">
        <w:rPr>
          <w:rFonts w:ascii="Times New Roman" w:hAnsi="Times New Roman" w:cs="Times New Roman"/>
          <w:sz w:val="28"/>
          <w:szCs w:val="28"/>
        </w:rPr>
        <w:t xml:space="preserve"> программных продуктов</w:t>
      </w:r>
      <w:r w:rsidR="00C1498E">
        <w:rPr>
          <w:rFonts w:ascii="Times New Roman" w:hAnsi="Times New Roman" w:cs="Times New Roman"/>
          <w:sz w:val="28"/>
          <w:szCs w:val="28"/>
        </w:rPr>
        <w:t xml:space="preserve"> (1</w:t>
      </w:r>
      <w:r w:rsidR="00DE58A8">
        <w:rPr>
          <w:rFonts w:ascii="Times New Roman" w:hAnsi="Times New Roman" w:cs="Times New Roman"/>
          <w:sz w:val="28"/>
          <w:szCs w:val="28"/>
        </w:rPr>
        <w:t>С Предприятие)</w:t>
      </w:r>
      <w:r w:rsidR="00C149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98E">
        <w:rPr>
          <w:rFonts w:ascii="Times New Roman" w:hAnsi="Times New Roman" w:cs="Times New Roman"/>
          <w:sz w:val="28"/>
          <w:szCs w:val="28"/>
        </w:rPr>
        <w:t>(</w:t>
      </w:r>
      <w:r w:rsidR="00C1498E" w:rsidRPr="00C1498E">
        <w:rPr>
          <w:rFonts w:ascii="Times New Roman" w:hAnsi="Times New Roman" w:cs="Times New Roman"/>
          <w:sz w:val="28"/>
          <w:szCs w:val="28"/>
        </w:rPr>
        <w:t>План счетов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деятельности организаций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и Инструкция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по его применению,</w:t>
      </w:r>
      <w:proofErr w:type="gramEnd"/>
    </w:p>
    <w:p w:rsidR="00DE58A8" w:rsidRDefault="00C1498E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98E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C1498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E58A8">
        <w:rPr>
          <w:rFonts w:ascii="Times New Roman" w:hAnsi="Times New Roman" w:cs="Times New Roman"/>
          <w:sz w:val="28"/>
          <w:szCs w:val="28"/>
        </w:rPr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Минфина России</w:t>
      </w:r>
      <w:r w:rsidR="00DE58A8">
        <w:rPr>
          <w:rFonts w:ascii="Times New Roman" w:hAnsi="Times New Roman" w:cs="Times New Roman"/>
          <w:sz w:val="28"/>
          <w:szCs w:val="28"/>
        </w:rPr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от 31.10.2000 № 94н</w:t>
      </w:r>
      <w:r w:rsidR="00DE58A8">
        <w:rPr>
          <w:rFonts w:ascii="Times New Roman" w:hAnsi="Times New Roman" w:cs="Times New Roman"/>
          <w:sz w:val="28"/>
          <w:szCs w:val="28"/>
        </w:rPr>
        <w:t>).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Денежное измерение объектов бухгалтерского учета производится в рублях и копейках.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Бухгалтерский учет ведется с применением специализированной бухгалтерской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1С Предприятие.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 о совершении фактов хозяйственной жизни имеют следующие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банко</w:t>
      </w:r>
      <w:r>
        <w:rPr>
          <w:rFonts w:ascii="Times New Roman" w:hAnsi="Times New Roman" w:cs="Times New Roman"/>
          <w:sz w:val="28"/>
          <w:szCs w:val="28"/>
        </w:rPr>
        <w:t xml:space="preserve">вские документы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 w:rsidRPr="00DE58A8">
        <w:rPr>
          <w:rFonts w:ascii="Times New Roman" w:hAnsi="Times New Roman" w:cs="Times New Roman"/>
          <w:sz w:val="28"/>
          <w:szCs w:val="28"/>
        </w:rPr>
        <w:t xml:space="preserve"> организации и главный</w:t>
      </w:r>
      <w:r w:rsidR="005F40AC">
        <w:rPr>
          <w:rFonts w:ascii="Times New Roman" w:hAnsi="Times New Roman" w:cs="Times New Roman"/>
          <w:sz w:val="28"/>
          <w:szCs w:val="28"/>
        </w:rPr>
        <w:t xml:space="preserve"> бухгалтер, а в случае их отсутствия заместитель председателя и бухгалтер; </w:t>
      </w:r>
    </w:p>
    <w:p w:rsidR="00DE58A8" w:rsidRP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 xml:space="preserve">кассовые документы, в том числе и авансовые отчеты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E58A8">
        <w:rPr>
          <w:rFonts w:ascii="Times New Roman" w:hAnsi="Times New Roman" w:cs="Times New Roman"/>
          <w:sz w:val="28"/>
          <w:szCs w:val="28"/>
        </w:rPr>
        <w:t>организации и главный бухгалтер;</w:t>
      </w:r>
      <w:r w:rsidRPr="00DE58A8">
        <w:rPr>
          <w:rFonts w:ascii="Times New Roman" w:hAnsi="Times New Roman" w:cs="Times New Roman"/>
          <w:sz w:val="28"/>
          <w:szCs w:val="28"/>
        </w:rPr>
        <w:cr/>
      </w:r>
      <w:r w:rsidRPr="00DE58A8"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документы по выбытию, списанию основных средств, материалов и других</w:t>
      </w:r>
    </w:p>
    <w:p w:rsid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ценностей, а также нематериальных активов и акта на списание ра</w:t>
      </w:r>
      <w:r w:rsidR="00EE1C46">
        <w:rPr>
          <w:rFonts w:ascii="Times New Roman" w:hAnsi="Times New Roman" w:cs="Times New Roman"/>
          <w:sz w:val="28"/>
          <w:szCs w:val="28"/>
        </w:rPr>
        <w:t xml:space="preserve">сходов по смете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 w:rsidRPr="00DE58A8">
        <w:rPr>
          <w:rFonts w:ascii="Times New Roman" w:hAnsi="Times New Roman" w:cs="Times New Roman"/>
          <w:sz w:val="28"/>
          <w:szCs w:val="28"/>
        </w:rPr>
        <w:t xml:space="preserve"> организации, главный бухгалтер, члены постоянно действующей комиссии, назначаемой председателем </w:t>
      </w:r>
      <w:r w:rsidR="005F40AC" w:rsidRPr="005F40A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E58A8">
        <w:rPr>
          <w:rFonts w:ascii="Times New Roman" w:hAnsi="Times New Roman" w:cs="Times New Roman"/>
          <w:sz w:val="28"/>
          <w:szCs w:val="28"/>
        </w:rPr>
        <w:t>организации в соответст</w:t>
      </w:r>
      <w:r w:rsidR="0068251C">
        <w:rPr>
          <w:rFonts w:ascii="Times New Roman" w:hAnsi="Times New Roman" w:cs="Times New Roman"/>
          <w:sz w:val="28"/>
          <w:szCs w:val="28"/>
        </w:rPr>
        <w:t>вии с Положением</w:t>
      </w:r>
    </w:p>
    <w:p w:rsidR="00EE1C46" w:rsidRP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lastRenderedPageBreak/>
        <w:t>В документах на приобретение материальных ценностей должна быть подпись материально ответственного лица в получении этих ценностей, а в документах, подтверждающих факт выполнения работы – подпись-виза о принятии результата работы ответственными (уполномоченн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ыми) лицами, только после этого </w:t>
      </w:r>
      <w:r w:rsidRPr="00EE1C46">
        <w:rPr>
          <w:rFonts w:ascii="Times New Roman" w:hAnsi="Times New Roman" w:cs="Times New Roman"/>
          <w:sz w:val="28"/>
          <w:szCs w:val="28"/>
        </w:rPr>
        <w:t xml:space="preserve">документ подписывает председатель </w:t>
      </w:r>
      <w:r w:rsidR="006172DF" w:rsidRPr="006172DF">
        <w:rPr>
          <w:rFonts w:ascii="Times New Roman" w:hAnsi="Times New Roman" w:cs="Times New Roman"/>
          <w:sz w:val="28"/>
          <w:szCs w:val="28"/>
        </w:rPr>
        <w:t>Областной</w:t>
      </w:r>
      <w:r w:rsidRPr="00EE1C46">
        <w:rPr>
          <w:rFonts w:ascii="Times New Roman" w:hAnsi="Times New Roman" w:cs="Times New Roman"/>
          <w:sz w:val="28"/>
          <w:szCs w:val="28"/>
        </w:rPr>
        <w:t xml:space="preserve"> организации. Право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46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 имеют лица, перечень которых определяется распорядительным документом по организации. Перечень материально ответственных лиц определяется распоряжением председателя </w:t>
      </w:r>
      <w:r w:rsidR="006172DF" w:rsidRPr="006172DF">
        <w:rPr>
          <w:rFonts w:ascii="Times New Roman" w:hAnsi="Times New Roman" w:cs="Times New Roman"/>
          <w:sz w:val="28"/>
          <w:szCs w:val="28"/>
        </w:rPr>
        <w:t>Областной</w:t>
      </w:r>
      <w:r w:rsidRPr="00EE1C46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E1C46" w:rsidRDefault="00EE1C46" w:rsidP="00EE1C4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>Организация применяет упрощенные способы ведения бухгалтерского учета</w:t>
      </w:r>
      <w:r w:rsidR="00C94FB7">
        <w:rPr>
          <w:rFonts w:ascii="Times New Roman" w:hAnsi="Times New Roman" w:cs="Times New Roman"/>
          <w:sz w:val="28"/>
          <w:szCs w:val="28"/>
        </w:rPr>
        <w:t xml:space="preserve">, </w:t>
      </w:r>
      <w:r w:rsidRPr="00EE1C46">
        <w:rPr>
          <w:rFonts w:ascii="Times New Roman" w:hAnsi="Times New Roman" w:cs="Times New Roman"/>
          <w:sz w:val="28"/>
          <w:szCs w:val="28"/>
        </w:rPr>
        <w:t xml:space="preserve"> поскольку не является эмитентом публично размещаемых ценных бумаг и налогоплательщиком налога на прибыль, на основании чего не применяет следующие Положения по бухгалтерскому учету: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«Учет договоров строительного подряда» (ПБУ 2/2008), утвержденное Приказом Минфина России от 24.10.2008 № 116н. (Основание: п. 2.1 ПБУ 2/2008);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«Оценочные обязательства, условные обязательства и условные активы» (ПБУ 8/2010), утвержденное Приказом Минфина России от 13.12.2010 № 167н. (Основание: п. 3 ПБУ 8/2010);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«Учет расчетов по налогу на прибыль организаций» (ПБУ 18/02), утвержденное Приказом Минфина России от 19.11.2002 № 114н. (Основание: п. 1 ПБУ 18/02);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«Информация о связанных сторонах» (ПБУ 11/2008), утвержденное Приказом Минфина России от 29.04.2008 № 48н. (Основание: п. 3 ПБУ 11/2008);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«Информация по сегментам» (ПБУ 12/2010), утвержденное Приказом Минфина России от 08.11.2010 № 143н. (Основание: п. 2 ПБУ 12/2010); </w:t>
      </w:r>
    </w:p>
    <w:p w:rsidR="00307826" w:rsidRPr="00307826" w:rsidRDefault="00EE1C46" w:rsidP="003078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>- Положение по бухгалтерскому учету «Информация по прекращаемой деятельности» (ПБУ 16/02), утвержденное Приказом Минфина России от 02.07.2002 № 66н</w:t>
      </w:r>
      <w:r w:rsidR="00307826">
        <w:rPr>
          <w:rFonts w:ascii="Times New Roman" w:hAnsi="Times New Roman" w:cs="Times New Roman"/>
          <w:sz w:val="28"/>
          <w:szCs w:val="28"/>
        </w:rPr>
        <w:t>. (Основание: п. 3.1 ПБУ 16/02)</w:t>
      </w:r>
    </w:p>
    <w:p w:rsidR="005D3793" w:rsidRDefault="00307826" w:rsidP="005D379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26">
        <w:rPr>
          <w:rFonts w:ascii="Times New Roman" w:hAnsi="Times New Roman" w:cs="Times New Roman"/>
          <w:sz w:val="28"/>
          <w:szCs w:val="28"/>
        </w:rPr>
        <w:t>Исправление ошибок и изменение учетной политики:</w:t>
      </w:r>
    </w:p>
    <w:p w:rsidR="005D3793" w:rsidRDefault="009359CB" w:rsidP="005D3793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793">
        <w:rPr>
          <w:rFonts w:ascii="Times New Roman" w:hAnsi="Times New Roman" w:cs="Times New Roman"/>
          <w:sz w:val="28"/>
          <w:szCs w:val="28"/>
        </w:rPr>
        <w:t>Исправление существенных ошибок предшествующего отчетного года,</w:t>
      </w:r>
      <w:r w:rsidR="003D2630">
        <w:rPr>
          <w:rFonts w:ascii="Times New Roman" w:hAnsi="Times New Roman" w:cs="Times New Roman"/>
          <w:sz w:val="28"/>
          <w:szCs w:val="28"/>
        </w:rPr>
        <w:t xml:space="preserve"> </w:t>
      </w:r>
      <w:r w:rsidRPr="005D3793">
        <w:rPr>
          <w:rFonts w:ascii="Times New Roman" w:hAnsi="Times New Roman" w:cs="Times New Roman"/>
          <w:sz w:val="28"/>
          <w:szCs w:val="28"/>
        </w:rPr>
        <w:t>выявленных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включаются в состав прочих доходов или расходов текущего отчетного периода.</w:t>
      </w:r>
      <w:r w:rsidR="005D3793">
        <w:t xml:space="preserve"> </w:t>
      </w:r>
      <w:r w:rsidR="005D3793" w:rsidRPr="005D3793">
        <w:rPr>
          <w:rFonts w:ascii="Times New Roman" w:hAnsi="Times New Roman" w:cs="Times New Roman"/>
          <w:sz w:val="28"/>
          <w:szCs w:val="28"/>
        </w:rPr>
        <w:t xml:space="preserve">(Основание: п. п. 9, 14 </w:t>
      </w:r>
      <w:r w:rsidR="005D3793" w:rsidRPr="005D3793">
        <w:rPr>
          <w:rFonts w:ascii="Times New Roman" w:hAnsi="Times New Roman" w:cs="Times New Roman"/>
          <w:sz w:val="28"/>
          <w:szCs w:val="28"/>
        </w:rPr>
        <w:lastRenderedPageBreak/>
        <w:t>Положения по бухгалтерскому учету «Исправление ошибок в бухгалтерском учете и отчетности» (ПБУ 22/2010), утвержденного Приказом Минфина России от 28.06.2010 № 63н);</w:t>
      </w:r>
    </w:p>
    <w:p w:rsidR="005D3793" w:rsidRPr="00525C30" w:rsidRDefault="005D3793" w:rsidP="005D3793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793">
        <w:rPr>
          <w:rFonts w:ascii="Times New Roman" w:hAnsi="Times New Roman" w:cs="Times New Roman"/>
          <w:sz w:val="28"/>
          <w:szCs w:val="28"/>
        </w:rPr>
        <w:t xml:space="preserve"> Отражение в бухгалтерской отчетности последствий изменений Учетной политики перспективно. Исключение составляют случаи, когда иной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93">
        <w:rPr>
          <w:rFonts w:ascii="Times New Roman" w:hAnsi="Times New Roman" w:cs="Times New Roman"/>
          <w:sz w:val="28"/>
          <w:szCs w:val="28"/>
        </w:rPr>
        <w:t xml:space="preserve">установлен законодательством Российской Федерации и </w:t>
      </w:r>
      <w:r w:rsidRPr="00525C30">
        <w:rPr>
          <w:rFonts w:ascii="Times New Roman" w:hAnsi="Times New Roman" w:cs="Times New Roman"/>
          <w:sz w:val="28"/>
          <w:szCs w:val="28"/>
        </w:rPr>
        <w:t>(или) нормативным правовым актом по бухгалтерскому учету. (Основание: п. 15.1 ПБУ 1/2008)</w:t>
      </w:r>
    </w:p>
    <w:p w:rsidR="00B2795F" w:rsidRPr="00525C30" w:rsidRDefault="00B2795F" w:rsidP="00B279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i/>
          <w:sz w:val="28"/>
          <w:szCs w:val="28"/>
        </w:rPr>
        <w:t>Документы и документооборот.</w:t>
      </w:r>
    </w:p>
    <w:p w:rsidR="00B2795F" w:rsidRPr="00525C30" w:rsidRDefault="00B2795F" w:rsidP="00525C30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 xml:space="preserve"> Организация ведет документооборот и оформляет первичные бухгалтерские документы в соответствии с ФСБУ 27/2021 «Документы и документооборот в бухгалтерском учете».</w:t>
      </w:r>
    </w:p>
    <w:p w:rsidR="007E7BD0" w:rsidRPr="00525C30" w:rsidRDefault="00B2795F" w:rsidP="00525C30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документы, регистры бухгалтерского учета, бухгалтерская (финансовая) отчетность, аудиторские заключения о ней подлежат хранению в течение сроков, устанавливаемых в соответствии с правилами организации государственного архивного дела, но не менее 5 лет после года, в котором они использовались для составления бухгалтерской (финансовой) отчетности в последний раз.</w:t>
      </w:r>
    </w:p>
    <w:p w:rsidR="00307826" w:rsidRPr="00525C30" w:rsidRDefault="007E7BD0" w:rsidP="007E7B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C30">
        <w:rPr>
          <w:rFonts w:ascii="Times New Roman" w:hAnsi="Times New Roman" w:cs="Times New Roman"/>
          <w:i/>
          <w:sz w:val="28"/>
          <w:szCs w:val="28"/>
        </w:rPr>
        <w:t>Первичные учетные документы. Регистры бухгалтерского учета</w:t>
      </w:r>
    </w:p>
    <w:p w:rsidR="007E7BD0" w:rsidRPr="007E7BD0" w:rsidRDefault="007E7BD0" w:rsidP="007E7BD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Основанием для записей в регистрах бухгалтерского</w:t>
      </w:r>
      <w:r w:rsidRPr="007E7BD0">
        <w:rPr>
          <w:rFonts w:ascii="Times New Roman" w:hAnsi="Times New Roman" w:cs="Times New Roman"/>
          <w:sz w:val="28"/>
          <w:szCs w:val="28"/>
        </w:rPr>
        <w:t xml:space="preserve"> учета являются первичные учетные документы, фиксирующие факт совершения хозяйственной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Каждый первичный учетный документ должен содержать все обязательные реквизиты, установленные частью 2 статьи 9 Федерального закона N 402-ФЗ.</w:t>
      </w:r>
      <w:r w:rsidR="00C9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Первичные учетные документы должны составляться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 организации имеют следующие должностные лица организации:</w:t>
      </w:r>
    </w:p>
    <w:p w:rsidR="007E7BD0" w:rsidRPr="007E7BD0" w:rsidRDefault="007E7BD0" w:rsidP="007E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7BD0">
        <w:rPr>
          <w:rFonts w:ascii="Times New Roman" w:hAnsi="Times New Roman" w:cs="Times New Roman"/>
          <w:sz w:val="28"/>
          <w:szCs w:val="28"/>
        </w:rPr>
        <w:t xml:space="preserve">- председатель; </w:t>
      </w:r>
    </w:p>
    <w:p w:rsidR="00307826" w:rsidRDefault="007E7BD0" w:rsidP="007E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7BD0">
        <w:rPr>
          <w:rFonts w:ascii="Times New Roman" w:hAnsi="Times New Roman" w:cs="Times New Roman"/>
          <w:sz w:val="28"/>
          <w:szCs w:val="28"/>
        </w:rPr>
        <w:t>- главный бухгалтер.</w:t>
      </w:r>
    </w:p>
    <w:p w:rsidR="009879D6" w:rsidRPr="009879D6" w:rsidRDefault="007E7BD0" w:rsidP="009879D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D0">
        <w:rPr>
          <w:rFonts w:ascii="Times New Roman" w:hAnsi="Times New Roman" w:cs="Times New Roman"/>
          <w:sz w:val="28"/>
          <w:szCs w:val="28"/>
        </w:rPr>
        <w:t>Данные, содержащиеся в первичных учетных документах, подлежат своевременной регистрации и накоплению в следующих регистрах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которые предусмотрены компьютерной бухгалте</w:t>
      </w:r>
      <w:r>
        <w:rPr>
          <w:rFonts w:ascii="Times New Roman" w:hAnsi="Times New Roman" w:cs="Times New Roman"/>
          <w:sz w:val="28"/>
          <w:szCs w:val="28"/>
        </w:rPr>
        <w:t xml:space="preserve">рской программой 1С Предприятие. </w:t>
      </w:r>
      <w:r w:rsidR="009879D6">
        <w:rPr>
          <w:rFonts w:ascii="Times New Roman" w:hAnsi="Times New Roman" w:cs="Times New Roman"/>
          <w:sz w:val="28"/>
          <w:szCs w:val="28"/>
        </w:rPr>
        <w:t>Используются следующие регистры</w:t>
      </w:r>
      <w:r w:rsidR="009879D6" w:rsidRPr="009879D6">
        <w:rPr>
          <w:rFonts w:ascii="Times New Roman" w:hAnsi="Times New Roman" w:cs="Times New Roman"/>
          <w:sz w:val="28"/>
          <w:szCs w:val="28"/>
        </w:rPr>
        <w:t xml:space="preserve"> бухгалтерского учета (из рабочих регистров бухгалтерского учета программы учета)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9D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879D6">
        <w:rPr>
          <w:rFonts w:ascii="Times New Roman" w:hAnsi="Times New Roman" w:cs="Times New Roman"/>
          <w:sz w:val="28"/>
          <w:szCs w:val="28"/>
        </w:rPr>
        <w:t>-сальдовая ведомость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9D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879D6">
        <w:rPr>
          <w:rFonts w:ascii="Times New Roman" w:hAnsi="Times New Roman" w:cs="Times New Roman"/>
          <w:sz w:val="28"/>
          <w:szCs w:val="28"/>
        </w:rPr>
        <w:t>-сальдовая ведомость по счету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Анализ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lastRenderedPageBreak/>
        <w:t>Карточка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Обороты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Анализ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Карточка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Обороты между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Сводные проводки</w:t>
      </w:r>
    </w:p>
    <w:p w:rsidR="007E7BD0" w:rsidRPr="007E7BD0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Отчет по проводкам</w:t>
      </w:r>
    </w:p>
    <w:p w:rsidR="00423E67" w:rsidRPr="00525C30" w:rsidRDefault="009879D6" w:rsidP="009879D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В первичном учетном документе и регистрах бухгалтерского учета допускаются исправления.</w:t>
      </w:r>
      <w:r w:rsidR="00B2795F" w:rsidRPr="00525C30">
        <w:rPr>
          <w:rFonts w:ascii="Times New Roman" w:hAnsi="Times New Roman" w:cs="Times New Roman"/>
          <w:sz w:val="28"/>
          <w:szCs w:val="28"/>
        </w:rPr>
        <w:t xml:space="preserve"> В учетный документ на бумажном носителе исправления вносятся корректурным способом: путем зачеркивания ошибочного текста или суммы и указания исправленного текста или суммы </w:t>
      </w:r>
      <w:proofErr w:type="gramStart"/>
      <w:r w:rsidR="00B2795F" w:rsidRPr="00525C3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2795F" w:rsidRPr="00525C30">
        <w:rPr>
          <w:rFonts w:ascii="Times New Roman" w:hAnsi="Times New Roman" w:cs="Times New Roman"/>
          <w:sz w:val="28"/>
          <w:szCs w:val="28"/>
        </w:rPr>
        <w:t xml:space="preserve"> зачеркнутым. Зачеркивание производится чертой таким образом, чтобы можно было проч</w:t>
      </w:r>
      <w:r w:rsidR="0068251C">
        <w:rPr>
          <w:rFonts w:ascii="Times New Roman" w:hAnsi="Times New Roman" w:cs="Times New Roman"/>
          <w:sz w:val="28"/>
          <w:szCs w:val="28"/>
        </w:rPr>
        <w:t xml:space="preserve">итать ошибочный текст или сумму </w:t>
      </w:r>
      <w:r w:rsidR="00423E67" w:rsidRPr="00525C30">
        <w:rPr>
          <w:rFonts w:ascii="Arial" w:hAnsi="Arial" w:cs="Arial"/>
          <w:color w:val="5C5C5C"/>
          <w:sz w:val="21"/>
          <w:szCs w:val="21"/>
          <w:shd w:val="clear" w:color="auto" w:fill="FFFFFF"/>
        </w:rPr>
        <w:t>(</w:t>
      </w:r>
      <w:r w:rsidR="00423E67" w:rsidRPr="00525C30">
        <w:rPr>
          <w:rFonts w:ascii="Times New Roman" w:hAnsi="Times New Roman" w:cs="Times New Roman"/>
          <w:sz w:val="28"/>
          <w:szCs w:val="28"/>
        </w:rPr>
        <w:t>пункты 18-22 ФСБУ 27/2021).</w:t>
      </w:r>
    </w:p>
    <w:p w:rsidR="007E7BD0" w:rsidRPr="009879D6" w:rsidRDefault="009879D6" w:rsidP="00423E6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 xml:space="preserve"> Исправление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7E7BD0" w:rsidRPr="003739AB" w:rsidRDefault="003739AB" w:rsidP="003739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9AB">
        <w:rPr>
          <w:rFonts w:ascii="Times New Roman" w:hAnsi="Times New Roman" w:cs="Times New Roman"/>
          <w:i/>
          <w:sz w:val="28"/>
          <w:szCs w:val="28"/>
        </w:rPr>
        <w:t>О поря</w:t>
      </w:r>
      <w:r>
        <w:rPr>
          <w:rFonts w:ascii="Times New Roman" w:hAnsi="Times New Roman" w:cs="Times New Roman"/>
          <w:i/>
          <w:sz w:val="28"/>
          <w:szCs w:val="28"/>
        </w:rPr>
        <w:t>дке выдачи денежных средств под</w:t>
      </w:r>
      <w:r w:rsidRPr="003739AB">
        <w:rPr>
          <w:rFonts w:ascii="Times New Roman" w:hAnsi="Times New Roman" w:cs="Times New Roman"/>
          <w:i/>
          <w:sz w:val="28"/>
          <w:szCs w:val="28"/>
        </w:rPr>
        <w:t>отчет и оформлению отчетов по их использованию</w:t>
      </w:r>
    </w:p>
    <w:p w:rsidR="00307826" w:rsidRPr="003739AB" w:rsidRDefault="00307826" w:rsidP="003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26" w:rsidRPr="00C942B4" w:rsidRDefault="00C942B4" w:rsidP="00C942B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30">
        <w:rPr>
          <w:rFonts w:ascii="Times New Roman" w:hAnsi="Times New Roman" w:cs="Times New Roman"/>
          <w:sz w:val="28"/>
          <w:szCs w:val="28"/>
        </w:rPr>
        <w:t>Расчеты с подотчетными лицами производятся как в наличном, так и в безналичном порядке.</w:t>
      </w:r>
      <w:r w:rsidRPr="00525C30">
        <w:t xml:space="preserve"> </w:t>
      </w:r>
      <w:r w:rsidRPr="00525C30">
        <w:rPr>
          <w:rFonts w:ascii="Times New Roman" w:hAnsi="Times New Roman" w:cs="Times New Roman"/>
          <w:sz w:val="28"/>
          <w:szCs w:val="28"/>
        </w:rPr>
        <w:t xml:space="preserve"> Средства выдаются под отчет путем перечисления на личные банковск</w:t>
      </w:r>
      <w:r w:rsidR="007F56FB" w:rsidRPr="00525C30">
        <w:rPr>
          <w:rFonts w:ascii="Times New Roman" w:hAnsi="Times New Roman" w:cs="Times New Roman"/>
          <w:sz w:val="28"/>
          <w:szCs w:val="28"/>
        </w:rPr>
        <w:t>ие карты подотчетных (доверенных) лиц</w:t>
      </w:r>
      <w:r w:rsidRPr="00525C30">
        <w:rPr>
          <w:rFonts w:ascii="Times New Roman" w:hAnsi="Times New Roman" w:cs="Times New Roman"/>
          <w:sz w:val="28"/>
          <w:szCs w:val="28"/>
        </w:rPr>
        <w:t xml:space="preserve"> или получаются из кассы организации на основании их заявлений (в которых прописываются цели</w:t>
      </w:r>
      <w:r w:rsidR="00106E6C" w:rsidRPr="00525C30">
        <w:rPr>
          <w:rFonts w:ascii="Times New Roman" w:hAnsi="Times New Roman" w:cs="Times New Roman"/>
          <w:sz w:val="28"/>
          <w:szCs w:val="28"/>
        </w:rPr>
        <w:t>, способ получения</w:t>
      </w:r>
      <w:r w:rsidRPr="00525C30">
        <w:rPr>
          <w:rFonts w:ascii="Times New Roman" w:hAnsi="Times New Roman" w:cs="Times New Roman"/>
          <w:sz w:val="28"/>
          <w:szCs w:val="28"/>
        </w:rPr>
        <w:t xml:space="preserve"> и назначение подотчета). </w:t>
      </w:r>
      <w:proofErr w:type="gramStart"/>
      <w:r w:rsidR="003739AB" w:rsidRPr="00525C30">
        <w:rPr>
          <w:rFonts w:ascii="Times New Roman" w:hAnsi="Times New Roman" w:cs="Times New Roman"/>
          <w:sz w:val="28"/>
          <w:szCs w:val="28"/>
        </w:rPr>
        <w:t>Выдача наличных денежных средств работнику под отчет на расходы, связанные</w:t>
      </w:r>
      <w:r w:rsidR="003739AB" w:rsidRPr="00C942B4">
        <w:rPr>
          <w:rFonts w:ascii="Times New Roman" w:hAnsi="Times New Roman" w:cs="Times New Roman"/>
          <w:sz w:val="28"/>
          <w:szCs w:val="28"/>
        </w:rPr>
        <w:t xml:space="preserve"> с осуществлением деятельности организации осуществляется согласно  Указанием ЦБ РФ от 05.10.2020 № 5587-У "О внесении изменений в Указание Банка России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89702F">
        <w:rPr>
          <w:rFonts w:ascii="Times New Roman" w:hAnsi="Times New Roman" w:cs="Times New Roman"/>
          <w:sz w:val="28"/>
          <w:szCs w:val="28"/>
        </w:rPr>
        <w:t xml:space="preserve"> по расходным</w:t>
      </w:r>
      <w:r w:rsidR="003739AB" w:rsidRPr="00C942B4">
        <w:rPr>
          <w:rFonts w:ascii="Times New Roman" w:hAnsi="Times New Roman" w:cs="Times New Roman"/>
          <w:sz w:val="28"/>
          <w:szCs w:val="28"/>
        </w:rPr>
        <w:t xml:space="preserve"> кас</w:t>
      </w:r>
      <w:r w:rsidR="0089702F">
        <w:rPr>
          <w:rFonts w:ascii="Times New Roman" w:hAnsi="Times New Roman" w:cs="Times New Roman"/>
          <w:sz w:val="28"/>
          <w:szCs w:val="28"/>
        </w:rPr>
        <w:t>совым</w:t>
      </w:r>
      <w:r w:rsidR="00AE5F43" w:rsidRPr="00C942B4">
        <w:rPr>
          <w:rFonts w:ascii="Times New Roman" w:hAnsi="Times New Roman" w:cs="Times New Roman"/>
          <w:sz w:val="28"/>
          <w:szCs w:val="28"/>
        </w:rPr>
        <w:t xml:space="preserve"> ордер</w:t>
      </w:r>
      <w:r w:rsidR="0089702F">
        <w:rPr>
          <w:rFonts w:ascii="Times New Roman" w:hAnsi="Times New Roman" w:cs="Times New Roman"/>
          <w:sz w:val="28"/>
          <w:szCs w:val="28"/>
        </w:rPr>
        <w:t>ам.</w:t>
      </w:r>
      <w:proofErr w:type="gramEnd"/>
    </w:p>
    <w:p w:rsidR="00AE5F43" w:rsidRDefault="00106E6C" w:rsidP="00AE5F4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AE5F43" w:rsidRPr="00AE5F43">
        <w:rPr>
          <w:rFonts w:ascii="Times New Roman" w:hAnsi="Times New Roman" w:cs="Times New Roman"/>
          <w:sz w:val="28"/>
          <w:szCs w:val="28"/>
        </w:rPr>
        <w:t xml:space="preserve"> под отчет проводится при условии полного погашения подотчетным лицом задолженности по ранее полученной под отчет сумме наличных денег</w:t>
      </w:r>
      <w:r w:rsidR="00AE5F43">
        <w:rPr>
          <w:rFonts w:ascii="Times New Roman" w:hAnsi="Times New Roman" w:cs="Times New Roman"/>
          <w:sz w:val="28"/>
          <w:szCs w:val="28"/>
        </w:rPr>
        <w:t>.</w:t>
      </w:r>
    </w:p>
    <w:p w:rsidR="00682567" w:rsidRDefault="00682567" w:rsidP="00682567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567">
        <w:rPr>
          <w:rFonts w:ascii="Times New Roman" w:hAnsi="Times New Roman" w:cs="Times New Roman"/>
          <w:sz w:val="28"/>
          <w:szCs w:val="28"/>
        </w:rPr>
        <w:t>Отчитаться за полученный подотчет нужно по установленной форме. Бланк авансового отчета утвержден Постановлением Госкомстата России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lastRenderedPageBreak/>
        <w:t>01.08.2001 N 55. Авансовый о</w:t>
      </w:r>
      <w:r w:rsidRPr="00682567">
        <w:rPr>
          <w:rFonts w:ascii="Times New Roman" w:hAnsi="Times New Roman" w:cs="Times New Roman"/>
          <w:sz w:val="28"/>
          <w:szCs w:val="28"/>
        </w:rPr>
        <w:t>тчет с приложением документов, подтверждающих произведенные расходы</w:t>
      </w:r>
      <w:r>
        <w:rPr>
          <w:rFonts w:ascii="Times New Roman" w:hAnsi="Times New Roman" w:cs="Times New Roman"/>
          <w:sz w:val="28"/>
          <w:szCs w:val="28"/>
        </w:rPr>
        <w:t>, нужно сдать</w:t>
      </w:r>
      <w:r w:rsidRPr="00682567">
        <w:rPr>
          <w:rFonts w:ascii="Times New Roman" w:hAnsi="Times New Roman" w:cs="Times New Roman"/>
          <w:sz w:val="28"/>
          <w:szCs w:val="28"/>
        </w:rPr>
        <w:t xml:space="preserve"> в бухгалтерию в </w:t>
      </w:r>
      <w:r w:rsidR="00C94FB7">
        <w:rPr>
          <w:rFonts w:ascii="Times New Roman" w:hAnsi="Times New Roman" w:cs="Times New Roman"/>
          <w:sz w:val="28"/>
          <w:szCs w:val="28"/>
        </w:rPr>
        <w:t>срок,  определенный  распоряжением  работодателя</w:t>
      </w:r>
      <w:r w:rsidRPr="00682567">
        <w:rPr>
          <w:rFonts w:ascii="Times New Roman" w:hAnsi="Times New Roman" w:cs="Times New Roman"/>
          <w:sz w:val="28"/>
          <w:szCs w:val="28"/>
        </w:rPr>
        <w:t>. Если авансовый отчет не предоставлен вовремя, то руководитель вправе принять решение об удержании сумм из заработной платы.</w:t>
      </w:r>
    </w:p>
    <w:p w:rsidR="008C6A83" w:rsidRDefault="008C6A83" w:rsidP="008C6A8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6A83" w:rsidRPr="008C6A83" w:rsidRDefault="008C6A83" w:rsidP="008C6A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A83">
        <w:rPr>
          <w:rFonts w:ascii="Times New Roman" w:hAnsi="Times New Roman" w:cs="Times New Roman"/>
          <w:i/>
          <w:sz w:val="28"/>
          <w:szCs w:val="28"/>
        </w:rPr>
        <w:t>Оценка имущества</w:t>
      </w:r>
    </w:p>
    <w:p w:rsidR="00943E9F" w:rsidRP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>Оценка имущест</w:t>
      </w:r>
      <w:r>
        <w:rPr>
          <w:rFonts w:ascii="Times New Roman" w:hAnsi="Times New Roman" w:cs="Times New Roman"/>
          <w:sz w:val="28"/>
          <w:szCs w:val="28"/>
        </w:rPr>
        <w:t xml:space="preserve">ва, приобретенного за плату, </w:t>
      </w:r>
      <w:r w:rsidRPr="00943E9F">
        <w:rPr>
          <w:rFonts w:ascii="Times New Roman" w:hAnsi="Times New Roman" w:cs="Times New Roman"/>
          <w:sz w:val="28"/>
          <w:szCs w:val="28"/>
        </w:rPr>
        <w:t>осуществляется путем суммирования фактически произведенных затрат на его покупку.</w:t>
      </w:r>
      <w:r w:rsidR="00BB677B" w:rsidRPr="00BB677B">
        <w:rPr>
          <w:rFonts w:ascii="Times New Roman" w:hAnsi="Times New Roman" w:cs="Times New Roman"/>
          <w:sz w:val="28"/>
          <w:szCs w:val="28"/>
        </w:rPr>
        <w:t xml:space="preserve"> При этом иные затраты, непосредственно связанные с приобретением МПЗ, включаются в состав расходов по обычным видам деятельности в полной сумме в периоде, в котором они были понесены</w:t>
      </w:r>
      <w:r w:rsidR="00BB677B">
        <w:rPr>
          <w:rFonts w:ascii="Times New Roman" w:hAnsi="Times New Roman" w:cs="Times New Roman"/>
          <w:sz w:val="28"/>
          <w:szCs w:val="28"/>
        </w:rPr>
        <w:t>.</w:t>
      </w:r>
    </w:p>
    <w:p w:rsidR="00307826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 Оценка имущества, полученного безвозмездно,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E9F">
        <w:rPr>
          <w:rFonts w:ascii="Times New Roman" w:hAnsi="Times New Roman" w:cs="Times New Roman"/>
          <w:sz w:val="28"/>
          <w:szCs w:val="28"/>
        </w:rPr>
        <w:t>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9F">
        <w:rPr>
          <w:rFonts w:ascii="Times New Roman" w:hAnsi="Times New Roman" w:cs="Times New Roman"/>
          <w:sz w:val="28"/>
          <w:szCs w:val="28"/>
        </w:rPr>
        <w:t>осуществляется по рыночной стоимости на дату оприходования.</w:t>
      </w:r>
    </w:p>
    <w:p w:rsidR="00A02226" w:rsidRDefault="00A02226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26">
        <w:rPr>
          <w:rFonts w:ascii="Times New Roman" w:hAnsi="Times New Roman" w:cs="Times New Roman"/>
          <w:sz w:val="28"/>
          <w:szCs w:val="28"/>
        </w:rPr>
        <w:t>Признавать расходы на приобретение МПЗ, предназначенных для управленческих нужд, в составе расходов по обычным видам деятельности в полной сумме по мере их приобретения (осуществления)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Последующая оценка всех финансовых вложений производится в порядке, установленном ПБУ 19/02 и учетной политикой для финансовых вложений, по которым текущая рыночная стоимость не определяется. Переоценка финансовых вложений, по которым определяется текущая рыночная стоимость, не производится.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2 п. 19 ПБУ 19/02)</w:t>
      </w:r>
      <w:r w:rsidR="00BB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Проверка на обесценение финансовых вложений, текущая рыночная стоимость которых не определяется, проводится ежегодно по состоянию на 31 декабря отчетного года, а также на отчетные даты промежуточной бухгалтерской отчетности при наличии признаков обесценения.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6 п. 38 ПБУ 19/02)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Обесценение финансовых вложений, по которым текущая рыночная стоимость не определяется, не отражается в бухгалтерском учете в случаях, когда расчет величины такого обесценения затруднителен.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2 п. 19 ПБУ 19/02)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>Применение счетов бухгалтерского учета. Займы, предоставленные раб</w:t>
      </w:r>
      <w:r w:rsidR="00743A48">
        <w:rPr>
          <w:rFonts w:ascii="Times New Roman" w:hAnsi="Times New Roman" w:cs="Times New Roman"/>
          <w:sz w:val="28"/>
          <w:szCs w:val="28"/>
        </w:rPr>
        <w:t xml:space="preserve">отникам организации, </w:t>
      </w:r>
      <w:r w:rsidRPr="00943E9F">
        <w:rPr>
          <w:rFonts w:ascii="Times New Roman" w:hAnsi="Times New Roman" w:cs="Times New Roman"/>
          <w:sz w:val="28"/>
          <w:szCs w:val="28"/>
        </w:rPr>
        <w:t xml:space="preserve">признаваемые финансовыми вложениями, учитываются на счете 73 «Расчеты с персоналом по прочим операциям»,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 xml:space="preserve"> 73.01 «Расчеты по предоставленным займам». </w:t>
      </w:r>
      <w:proofErr w:type="gramStart"/>
      <w:r w:rsidRPr="00943E9F">
        <w:rPr>
          <w:rFonts w:ascii="Times New Roman" w:hAnsi="Times New Roman" w:cs="Times New Roman"/>
          <w:sz w:val="28"/>
          <w:szCs w:val="28"/>
        </w:rPr>
        <w:t>(Основание:</w:t>
      </w:r>
      <w:proofErr w:type="gramEnd"/>
      <w:r w:rsidRPr="00943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E9F">
        <w:rPr>
          <w:rFonts w:ascii="Times New Roman" w:hAnsi="Times New Roman" w:cs="Times New Roman"/>
          <w:sz w:val="28"/>
          <w:szCs w:val="28"/>
        </w:rPr>
        <w:t>Инструкция по применению Плана счетов)</w:t>
      </w:r>
      <w:proofErr w:type="gramEnd"/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Депозитные вклады и сертификаты, признаваемые финансовыми вложениями, учитываются на счете 55 «Специальные счета в банках»,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lastRenderedPageBreak/>
        <w:t>субсчет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 xml:space="preserve"> 55.03 «Депозитные счета». </w:t>
      </w:r>
      <w:proofErr w:type="gramStart"/>
      <w:r w:rsidRPr="00943E9F">
        <w:rPr>
          <w:rFonts w:ascii="Times New Roman" w:hAnsi="Times New Roman" w:cs="Times New Roman"/>
          <w:sz w:val="28"/>
          <w:szCs w:val="28"/>
        </w:rPr>
        <w:t>(Основание:</w:t>
      </w:r>
      <w:proofErr w:type="gramEnd"/>
      <w:r w:rsidRPr="00943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E9F">
        <w:rPr>
          <w:rFonts w:ascii="Times New Roman" w:hAnsi="Times New Roman" w:cs="Times New Roman"/>
          <w:sz w:val="28"/>
          <w:szCs w:val="28"/>
        </w:rPr>
        <w:t>Инструкция по применению Плана счетов)</w:t>
      </w:r>
      <w:proofErr w:type="gramEnd"/>
    </w:p>
    <w:p w:rsidR="00743A48" w:rsidRDefault="00743A48" w:rsidP="00743A4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3A48" w:rsidRDefault="00743A48" w:rsidP="00743A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A48">
        <w:rPr>
          <w:rFonts w:ascii="Times New Roman" w:hAnsi="Times New Roman" w:cs="Times New Roman"/>
          <w:i/>
          <w:sz w:val="28"/>
          <w:szCs w:val="28"/>
        </w:rPr>
        <w:t>Порядок проведения инвентаризации активов и обязательств</w:t>
      </w:r>
    </w:p>
    <w:p w:rsidR="00307826" w:rsidRDefault="00743A48" w:rsidP="00D63F8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Активы и обязательства подлежат инвентаризации. При инвентаризации выявляется фактическое наличие соответствующих объектов, которое сопоставляется с данными регистров бухгалтерского учета. При проведении инвентаризации и в оформлении документов по ее результатам руководствоваться Методическими указаниями по инвентаризации финансовых обязательств, утвержденных Приказом Минфина РФ от 13 июня 1995г. № 49.</w:t>
      </w:r>
    </w:p>
    <w:p w:rsidR="00C05C10" w:rsidRDefault="00C05C10" w:rsidP="00D63F8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До начала инвентаризации проверяется наличие и состояние инвентарных карточек, инвентарных книг, описей и других регистров аналитического учета; 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C05C10" w:rsidRPr="00C05C10" w:rsidRDefault="00C05C10" w:rsidP="00C05C1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Порядок проведения инвентаризации определяется руководителем организации, за исключением случаев, когда проведение инве</w:t>
      </w:r>
      <w:r>
        <w:rPr>
          <w:rFonts w:ascii="Times New Roman" w:hAnsi="Times New Roman" w:cs="Times New Roman"/>
          <w:sz w:val="28"/>
          <w:szCs w:val="28"/>
        </w:rPr>
        <w:t>нтаризации обязательно</w:t>
      </w:r>
      <w:r w:rsidRPr="00C05C10">
        <w:rPr>
          <w:rFonts w:ascii="Times New Roman" w:hAnsi="Times New Roman" w:cs="Times New Roman"/>
          <w:sz w:val="28"/>
          <w:szCs w:val="28"/>
        </w:rPr>
        <w:t>: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бухгалтерской отчетности;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при смене материально ответственных лиц; 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имущества;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в случае стихийного бедствия, пожара или других чрезвычайных ситуаций, вызванных экстремальными условиями; 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при реорганизации или ликвидации организации; 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законодательством Российской Федерации.</w:t>
      </w:r>
    </w:p>
    <w:p w:rsidR="00307826" w:rsidRDefault="00C05C10" w:rsidP="00C94FB7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>Инвентаризация активов и обязатель</w:t>
      </w:r>
      <w:proofErr w:type="gramStart"/>
      <w:r w:rsidRPr="004C024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0244">
        <w:rPr>
          <w:rFonts w:ascii="Times New Roman" w:hAnsi="Times New Roman" w:cs="Times New Roman"/>
          <w:sz w:val="28"/>
          <w:szCs w:val="28"/>
        </w:rPr>
        <w:t>оводится постоянно действующей инвентаризационной комиссией, утверждае</w:t>
      </w:r>
      <w:r w:rsidR="00C94FB7">
        <w:rPr>
          <w:rFonts w:ascii="Times New Roman" w:hAnsi="Times New Roman" w:cs="Times New Roman"/>
          <w:sz w:val="28"/>
          <w:szCs w:val="28"/>
        </w:rPr>
        <w:t>мой распоряжением П</w:t>
      </w:r>
      <w:r w:rsidR="004C0244" w:rsidRPr="004C024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C0244" w:rsidRDefault="004C0244" w:rsidP="004C02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 xml:space="preserve">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 </w:t>
      </w:r>
    </w:p>
    <w:p w:rsidR="004C0244" w:rsidRDefault="004C0244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lastRenderedPageBreak/>
        <w:t>а) излишек имущества приходуется по рыночной стоимости на дату проведения инвентаризации, и соответствующая сумма зач</w:t>
      </w:r>
      <w:r w:rsidR="00C94FB7">
        <w:rPr>
          <w:rFonts w:ascii="Times New Roman" w:hAnsi="Times New Roman" w:cs="Times New Roman"/>
          <w:sz w:val="28"/>
          <w:szCs w:val="28"/>
        </w:rPr>
        <w:t xml:space="preserve">исляется на увеличение доходов </w:t>
      </w:r>
      <w:r w:rsidR="00C94FB7" w:rsidRPr="00C94FB7">
        <w:t xml:space="preserve">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8742DA" w:rsidRDefault="004C0244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>б) недостача имущества и его порча в пределах норм естественной убыли относятся на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4C0244">
        <w:rPr>
          <w:rFonts w:ascii="Times New Roman" w:hAnsi="Times New Roman" w:cs="Times New Roman"/>
          <w:sz w:val="28"/>
          <w:szCs w:val="28"/>
        </w:rPr>
        <w:t xml:space="preserve">, сверх норм –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увеличение расходов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B677B" w:rsidRDefault="00BB677B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42DA" w:rsidRDefault="00BB677B" w:rsidP="00BB67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7B">
        <w:rPr>
          <w:rFonts w:ascii="Times New Roman" w:hAnsi="Times New Roman" w:cs="Times New Roman"/>
          <w:i/>
          <w:sz w:val="28"/>
          <w:szCs w:val="28"/>
        </w:rPr>
        <w:t>Признание и учет доходов</w:t>
      </w:r>
    </w:p>
    <w:p w:rsidR="00FF5C57" w:rsidRPr="00FF5C57" w:rsidRDefault="00C94FB7" w:rsidP="00FF5C5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C57">
        <w:rPr>
          <w:rFonts w:ascii="Times New Roman" w:hAnsi="Times New Roman" w:cs="Times New Roman"/>
          <w:sz w:val="28"/>
          <w:szCs w:val="28"/>
        </w:rPr>
        <w:t>рганизация использует</w:t>
      </w:r>
      <w:r w:rsidR="00FF5C57" w:rsidRPr="00FF5C57">
        <w:rPr>
          <w:rFonts w:ascii="Times New Roman" w:hAnsi="Times New Roman" w:cs="Times New Roman"/>
          <w:sz w:val="28"/>
          <w:szCs w:val="28"/>
        </w:rPr>
        <w:t xml:space="preserve"> кассовый метод учета доходов и расходов</w:t>
      </w:r>
      <w:r w:rsidR="00FF5C57">
        <w:rPr>
          <w:rFonts w:ascii="Times New Roman" w:hAnsi="Times New Roman" w:cs="Times New Roman"/>
          <w:sz w:val="28"/>
          <w:szCs w:val="28"/>
        </w:rPr>
        <w:t xml:space="preserve"> (основание: применение упрощенного способа ведения бухгалтерского учета)</w:t>
      </w:r>
      <w:r w:rsidR="00FF5C57" w:rsidRPr="00FF5C57">
        <w:rPr>
          <w:rFonts w:ascii="Times New Roman" w:hAnsi="Times New Roman" w:cs="Times New Roman"/>
          <w:sz w:val="28"/>
          <w:szCs w:val="28"/>
        </w:rPr>
        <w:t>;</w:t>
      </w:r>
    </w:p>
    <w:p w:rsidR="00A02226" w:rsidRDefault="00C94FB7" w:rsidP="00A0222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бухгалтерском учете, </w:t>
      </w:r>
      <w:r w:rsidR="00A02226" w:rsidRPr="00A02226">
        <w:rPr>
          <w:rFonts w:ascii="Times New Roman" w:hAnsi="Times New Roman" w:cs="Times New Roman"/>
          <w:sz w:val="28"/>
          <w:szCs w:val="28"/>
        </w:rPr>
        <w:t xml:space="preserve"> учет целевых поступлений и операций, связанных с предпринимательской деятельностью (при ее возникновении), ведется раздельно</w:t>
      </w:r>
    </w:p>
    <w:p w:rsidR="00AE5F43" w:rsidRDefault="00AE5F43" w:rsidP="00A0222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43">
        <w:rPr>
          <w:rFonts w:ascii="Times New Roman" w:hAnsi="Times New Roman" w:cs="Times New Roman"/>
          <w:sz w:val="28"/>
          <w:szCs w:val="28"/>
        </w:rPr>
        <w:t>Учет операций по внереализационным доходам осуществляется обособленно от операций по уставной деятельности. Прибыль от внереализационных доходов направляется на финансирование уставной деятельности профсоюзной организации, отражая заключительными оборотами в конце отчетного периода в составе целевых поступлений.</w:t>
      </w:r>
    </w:p>
    <w:p w:rsidR="00BF6921" w:rsidRPr="00BF6921" w:rsidRDefault="00BF6921" w:rsidP="003F635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Учет целевых поступлений (членских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921">
        <w:rPr>
          <w:rFonts w:ascii="Times New Roman" w:hAnsi="Times New Roman" w:cs="Times New Roman"/>
          <w:sz w:val="28"/>
          <w:szCs w:val="28"/>
        </w:rPr>
        <w:t>рофсоюзных взносов, пожертвований и других поступлений) на осуществление уставной деятельности ведется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момент их фактического поступления на расчетный счет, в разрезе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6921">
        <w:rPr>
          <w:rFonts w:ascii="Times New Roman" w:hAnsi="Times New Roman" w:cs="Times New Roman"/>
          <w:sz w:val="28"/>
          <w:szCs w:val="28"/>
        </w:rPr>
        <w:t>отражается по кредиту счета 86 «Целевое финансирование». Средства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финансирования, поступившие на расчетный счет организации, 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следующими проводками:</w:t>
      </w:r>
    </w:p>
    <w:p w:rsidR="00BF6921" w:rsidRPr="003F6352" w:rsidRDefault="00BF6921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>Д 76</w:t>
      </w:r>
      <w:proofErr w:type="gramStart"/>
      <w:r w:rsidRPr="003F63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6352">
        <w:rPr>
          <w:rFonts w:ascii="Times New Roman" w:hAnsi="Times New Roman" w:cs="Times New Roman"/>
          <w:sz w:val="28"/>
          <w:szCs w:val="28"/>
        </w:rPr>
        <w:t xml:space="preserve"> 86 – отражено поступление средств целевого финансирования;</w:t>
      </w:r>
    </w:p>
    <w:p w:rsidR="00BB677B" w:rsidRPr="003F6352" w:rsidRDefault="00BF6921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>Д 51 К76 – отражено поступление денежных средств на расчетный счет.</w:t>
      </w:r>
    </w:p>
    <w:p w:rsidR="00C94FB7" w:rsidRDefault="00C94FB7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 xml:space="preserve">Расчет с </w:t>
      </w:r>
      <w:r w:rsidR="003F6352" w:rsidRPr="003F6352">
        <w:rPr>
          <w:rFonts w:ascii="Times New Roman" w:hAnsi="Times New Roman" w:cs="Times New Roman"/>
          <w:sz w:val="28"/>
          <w:szCs w:val="28"/>
        </w:rPr>
        <w:t>вышестоящими профсоюзными органами осуществляется следующими проводками:</w:t>
      </w:r>
    </w:p>
    <w:p w:rsidR="003F6352" w:rsidRDefault="003F6352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Д86 К79 – денежные средства на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F6352" w:rsidRPr="003F6352" w:rsidRDefault="003F6352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Д79 К51- перечисление вышестоящим организациям Профсоюза.</w:t>
      </w:r>
    </w:p>
    <w:p w:rsidR="00BD0551" w:rsidRDefault="00BF6921" w:rsidP="00BF6921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 К счету 86 «Целевое финансирование» открыты следующие </w:t>
      </w:r>
      <w:proofErr w:type="spellStart"/>
      <w:r w:rsidRPr="00BF6921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BF6921">
        <w:rPr>
          <w:rFonts w:ascii="Times New Roman" w:hAnsi="Times New Roman" w:cs="Times New Roman"/>
          <w:sz w:val="28"/>
          <w:szCs w:val="28"/>
        </w:rPr>
        <w:t xml:space="preserve"> (в рамках сметы</w:t>
      </w:r>
      <w:r w:rsidR="00BD0551">
        <w:rPr>
          <w:rFonts w:ascii="Times New Roman" w:hAnsi="Times New Roman" w:cs="Times New Roman"/>
          <w:sz w:val="28"/>
          <w:szCs w:val="28"/>
        </w:rPr>
        <w:t xml:space="preserve"> доходов и расходов</w:t>
      </w:r>
      <w:r w:rsidRPr="00BF692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86.01 Доходы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lastRenderedPageBreak/>
        <w:t xml:space="preserve">86.02 </w:t>
      </w:r>
      <w:r w:rsidRPr="00BD0551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551">
        <w:rPr>
          <w:rFonts w:ascii="Times New Roman" w:hAnsi="Times New Roman" w:cs="Times New Roman"/>
          <w:sz w:val="28"/>
          <w:szCs w:val="28"/>
        </w:rPr>
        <w:t xml:space="preserve">86.03 Остатки средств сметы. </w:t>
      </w:r>
    </w:p>
    <w:p w:rsidR="002B7C2D" w:rsidRDefault="002B7C2D" w:rsidP="002B7C2D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Остаток неиспользованных целевых поступлений по смете доходов и расходов переходит на следующий календарный год на уставную деятельность.</w:t>
      </w:r>
    </w:p>
    <w:p w:rsidR="002B7C2D" w:rsidRDefault="002B7C2D" w:rsidP="002B7C2D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C2D" w:rsidRDefault="002413FF" w:rsidP="003F6352">
      <w:pPr>
        <w:pStyle w:val="a3"/>
        <w:numPr>
          <w:ilvl w:val="0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Учет расходов </w:t>
      </w:r>
      <w:r w:rsidR="003F6352" w:rsidRPr="003F6352">
        <w:rPr>
          <w:rFonts w:ascii="Times New Roman" w:hAnsi="Times New Roman" w:cs="Times New Roman"/>
          <w:i/>
          <w:sz w:val="28"/>
          <w:szCs w:val="28"/>
        </w:rPr>
        <w:t>Областной</w:t>
      </w:r>
      <w:r w:rsidR="002B7C2D" w:rsidRPr="002B7C2D">
        <w:rPr>
          <w:rFonts w:ascii="Times New Roman" w:hAnsi="Times New Roman" w:cs="Times New Roman"/>
          <w:i/>
          <w:sz w:val="28"/>
          <w:szCs w:val="28"/>
        </w:rPr>
        <w:t xml:space="preserve"> организации на осуществление уставной деятельности</w:t>
      </w:r>
    </w:p>
    <w:p w:rsidR="002413FF" w:rsidRDefault="002B7C2D" w:rsidP="002413FF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Учет расходов по уставной деятельности учитывается на дебете счета 86 «Целевое финансирование»</w:t>
      </w:r>
      <w:r w:rsidR="002413FF">
        <w:rPr>
          <w:rFonts w:ascii="Times New Roman" w:hAnsi="Times New Roman" w:cs="Times New Roman"/>
          <w:sz w:val="28"/>
          <w:szCs w:val="28"/>
        </w:rPr>
        <w:t xml:space="preserve">. </w:t>
      </w:r>
      <w:r w:rsidRPr="002B7C2D">
        <w:rPr>
          <w:rFonts w:ascii="Times New Roman" w:hAnsi="Times New Roman" w:cs="Times New Roman"/>
          <w:sz w:val="28"/>
          <w:szCs w:val="28"/>
        </w:rPr>
        <w:t>Расходы производятся в разрезе статей со</w:t>
      </w:r>
      <w:r w:rsidR="002413FF">
        <w:rPr>
          <w:rFonts w:ascii="Times New Roman" w:hAnsi="Times New Roman" w:cs="Times New Roman"/>
          <w:sz w:val="28"/>
          <w:szCs w:val="28"/>
        </w:rPr>
        <w:t>гласно смете доходов и расходов</w:t>
      </w:r>
      <w:r w:rsidRPr="002B7C2D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</w:t>
      </w:r>
      <w:r w:rsidR="002413FF">
        <w:rPr>
          <w:rFonts w:ascii="Times New Roman" w:hAnsi="Times New Roman" w:cs="Times New Roman"/>
          <w:sz w:val="28"/>
          <w:szCs w:val="28"/>
        </w:rPr>
        <w:t>.</w:t>
      </w:r>
    </w:p>
    <w:p w:rsidR="002413FF" w:rsidRDefault="002413FF" w:rsidP="002413FF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13FF" w:rsidRDefault="004E17E3" w:rsidP="002413FF">
      <w:pPr>
        <w:pStyle w:val="a3"/>
        <w:numPr>
          <w:ilvl w:val="0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Учет запасов</w:t>
      </w:r>
    </w:p>
    <w:p w:rsidR="004E17E3" w:rsidRPr="007C4A6D" w:rsidRDefault="00DA4A6C" w:rsidP="007C4A6D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4A6C">
        <w:rPr>
          <w:rFonts w:ascii="Times New Roman" w:hAnsi="Times New Roman" w:cs="Times New Roman"/>
          <w:sz w:val="28"/>
          <w:szCs w:val="28"/>
        </w:rPr>
        <w:t>тражать в бухгалтерской отчетности переход на новые правила учета</w:t>
      </w:r>
      <w:r w:rsidR="007E41A2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7C4A6D">
        <w:rPr>
          <w:rFonts w:ascii="Times New Roman" w:hAnsi="Times New Roman" w:cs="Times New Roman"/>
          <w:sz w:val="28"/>
          <w:szCs w:val="28"/>
        </w:rPr>
        <w:t xml:space="preserve">  п</w:t>
      </w:r>
      <w:r w:rsidR="004E17E3" w:rsidRPr="007C4A6D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ерспективно. В этом случае входные показатели на 1 января 2021 года не пересчитываются. Новый стандарт применяется только в отношении фактов хозяйственной жизни, которые имели место после начала применения стандарта</w:t>
      </w:r>
      <w:r w:rsidR="004E17E3" w:rsidRPr="007C4A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F3030" w:rsidRDefault="004E17E3" w:rsidP="004E17E3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6D">
        <w:rPr>
          <w:rFonts w:ascii="Times New Roman" w:hAnsi="Times New Roman" w:cs="Times New Roman"/>
          <w:sz w:val="28"/>
          <w:szCs w:val="28"/>
        </w:rPr>
        <w:t>Новые правила применяются только к тем активам, которые организация поставила на учет после 1 января 2021 года</w:t>
      </w:r>
    </w:p>
    <w:p w:rsidR="004E17E3" w:rsidRPr="004E17E3" w:rsidRDefault="004E17E3" w:rsidP="004E17E3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3FF" w:rsidRDefault="00EA0399" w:rsidP="00EA0399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0399">
        <w:rPr>
          <w:rFonts w:ascii="Times New Roman" w:hAnsi="Times New Roman" w:cs="Times New Roman"/>
          <w:sz w:val="28"/>
          <w:szCs w:val="28"/>
        </w:rPr>
        <w:t>Для целей бухгалтерского учета запасы определены как активы, потребляемые или продаваемые в рамках обычного операционного цикла организации, либо используемые в течение периода не более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399" w:rsidRPr="00EA0399" w:rsidRDefault="003F6352" w:rsidP="003F6352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</w:t>
      </w:r>
      <w:r w:rsidR="00EA0399">
        <w:rPr>
          <w:rFonts w:ascii="Times New Roman" w:hAnsi="Times New Roman" w:cs="Times New Roman"/>
          <w:sz w:val="28"/>
          <w:szCs w:val="28"/>
        </w:rPr>
        <w:t xml:space="preserve"> организация не применяет ФСБУ 5/2019 «Запасы»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в отношении запасов, предназначенных для управленческих нужд. В этом случае затраты, которые в соответствии со стандартом должны были бы включаться в стоимость запасов, признаются расходами периода, в котором был</w:t>
      </w:r>
      <w:r w:rsidR="00EA0399">
        <w:rPr>
          <w:rFonts w:ascii="Times New Roman" w:hAnsi="Times New Roman" w:cs="Times New Roman"/>
          <w:sz w:val="28"/>
          <w:szCs w:val="28"/>
        </w:rPr>
        <w:t>и понесены.</w:t>
      </w:r>
      <w:r w:rsidR="00EA0399" w:rsidRPr="00EA0399">
        <w:rPr>
          <w:rFonts w:eastAsiaTheme="minorEastAsia" w:hAnsi="Calibri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="00D63F80" w:rsidRPr="00EA0399">
        <w:rPr>
          <w:rFonts w:ascii="Times New Roman" w:hAnsi="Times New Roman" w:cs="Times New Roman"/>
          <w:sz w:val="28"/>
          <w:szCs w:val="28"/>
        </w:rPr>
        <w:t xml:space="preserve">Приобретение материалов для управленческих нужд </w:t>
      </w:r>
      <w:r w:rsidRPr="003F6352">
        <w:rPr>
          <w:rFonts w:ascii="Times New Roman" w:hAnsi="Times New Roman" w:cs="Times New Roman"/>
          <w:sz w:val="28"/>
          <w:szCs w:val="28"/>
        </w:rPr>
        <w:t>Областной</w:t>
      </w:r>
      <w:r w:rsidR="00EA039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63F80" w:rsidRPr="00EA0399">
        <w:rPr>
          <w:rFonts w:ascii="Times New Roman" w:hAnsi="Times New Roman" w:cs="Times New Roman"/>
          <w:sz w:val="28"/>
          <w:szCs w:val="28"/>
        </w:rPr>
        <w:t xml:space="preserve"> списывается на затраты на основании передаточных документов от поставщика (УПД, накладная)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99" w:rsidRDefault="007E41A2" w:rsidP="007E41A2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EA0399" w:rsidRPr="00EA0399">
        <w:rPr>
          <w:rFonts w:ascii="Times New Roman" w:hAnsi="Times New Roman" w:cs="Times New Roman"/>
          <w:sz w:val="28"/>
          <w:szCs w:val="28"/>
        </w:rPr>
        <w:t>организация не применяет ФСБУ 5/2019 «Запасы» в отношении</w:t>
      </w:r>
      <w:r w:rsidR="00EA0399">
        <w:rPr>
          <w:rFonts w:ascii="Times New Roman" w:hAnsi="Times New Roman" w:cs="Times New Roman"/>
          <w:sz w:val="28"/>
          <w:szCs w:val="28"/>
        </w:rPr>
        <w:t xml:space="preserve"> материальных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A0399">
        <w:rPr>
          <w:rFonts w:ascii="Times New Roman" w:hAnsi="Times New Roman" w:cs="Times New Roman"/>
          <w:sz w:val="28"/>
          <w:szCs w:val="28"/>
        </w:rPr>
        <w:t>ей</w:t>
      </w:r>
      <w:r w:rsidR="00EA0399" w:rsidRPr="00EA0399">
        <w:rPr>
          <w:rFonts w:ascii="Times New Roman" w:hAnsi="Times New Roman" w:cs="Times New Roman"/>
          <w:sz w:val="28"/>
          <w:szCs w:val="28"/>
        </w:rPr>
        <w:t>, полученные некоммерческой организацией для безвозмездной передачи гражданам или юридическим лицам</w:t>
      </w:r>
      <w:proofErr w:type="gramStart"/>
      <w:r w:rsidR="00EA0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3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03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0399">
        <w:rPr>
          <w:rFonts w:ascii="Times New Roman" w:hAnsi="Times New Roman" w:cs="Times New Roman"/>
          <w:sz w:val="28"/>
          <w:szCs w:val="28"/>
        </w:rPr>
        <w:t xml:space="preserve">снование ФСБУ 5/2019, п4. в). </w:t>
      </w:r>
      <w:r w:rsidR="00EA0399" w:rsidRPr="00EA0399">
        <w:rPr>
          <w:rFonts w:ascii="Times New Roman" w:hAnsi="Times New Roman" w:cs="Times New Roman"/>
          <w:sz w:val="28"/>
          <w:szCs w:val="28"/>
        </w:rPr>
        <w:t>Подарки, спортивная форма  и прочие объекты, предназначенные для передачи членам профсоюза списываются на затраты в момент приобретения и учитываются за балансом в оперативном учете</w:t>
      </w:r>
      <w:r w:rsidR="00EA0399">
        <w:rPr>
          <w:rFonts w:ascii="Times New Roman" w:hAnsi="Times New Roman" w:cs="Times New Roman"/>
          <w:sz w:val="28"/>
          <w:szCs w:val="28"/>
        </w:rPr>
        <w:t>.</w:t>
      </w:r>
      <w:r w:rsidR="00DA4A6C">
        <w:rPr>
          <w:rFonts w:ascii="Times New Roman" w:hAnsi="Times New Roman" w:cs="Times New Roman"/>
          <w:sz w:val="28"/>
          <w:szCs w:val="28"/>
        </w:rPr>
        <w:t xml:space="preserve"> </w:t>
      </w:r>
      <w:r w:rsidR="00DA4A6C" w:rsidRPr="00DA4A6C">
        <w:rPr>
          <w:rFonts w:ascii="Times New Roman" w:hAnsi="Times New Roman" w:cs="Times New Roman"/>
          <w:sz w:val="28"/>
          <w:szCs w:val="28"/>
        </w:rPr>
        <w:t>Учитываются на счете 10, списываются в момент передачи в эксплуатацию, но и</w:t>
      </w:r>
      <w:r w:rsidR="00DA4A6C">
        <w:rPr>
          <w:rFonts w:ascii="Times New Roman" w:hAnsi="Times New Roman" w:cs="Times New Roman"/>
          <w:sz w:val="28"/>
          <w:szCs w:val="28"/>
        </w:rPr>
        <w:t xml:space="preserve"> не подлежат </w:t>
      </w:r>
      <w:r w:rsidR="00DA4A6C" w:rsidRPr="00DA4A6C">
        <w:rPr>
          <w:rFonts w:ascii="Times New Roman" w:hAnsi="Times New Roman" w:cs="Times New Roman"/>
          <w:sz w:val="28"/>
          <w:szCs w:val="28"/>
        </w:rPr>
        <w:t>уценке/</w:t>
      </w:r>
      <w:proofErr w:type="spellStart"/>
      <w:r w:rsidR="00DA4A6C" w:rsidRPr="00DA4A6C">
        <w:rPr>
          <w:rFonts w:ascii="Times New Roman" w:hAnsi="Times New Roman" w:cs="Times New Roman"/>
          <w:sz w:val="28"/>
          <w:szCs w:val="28"/>
        </w:rPr>
        <w:t>дооценке</w:t>
      </w:r>
      <w:proofErr w:type="spellEnd"/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до справедливой стоимости</w:t>
      </w:r>
      <w:r w:rsidR="00DA4A6C">
        <w:rPr>
          <w:rFonts w:ascii="Times New Roman" w:hAnsi="Times New Roman" w:cs="Times New Roman"/>
          <w:sz w:val="28"/>
          <w:szCs w:val="28"/>
        </w:rPr>
        <w:t>.</w:t>
      </w:r>
    </w:p>
    <w:p w:rsidR="00DA4A6C" w:rsidRDefault="00F7365D" w:rsidP="00DA4A6C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запасам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по ФСБУ 5</w:t>
      </w:r>
      <w:r w:rsidR="008A4113">
        <w:rPr>
          <w:rFonts w:ascii="Times New Roman" w:hAnsi="Times New Roman" w:cs="Times New Roman"/>
          <w:sz w:val="28"/>
          <w:szCs w:val="28"/>
        </w:rPr>
        <w:t>/2019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относятся неисключительные права</w:t>
      </w:r>
      <w:r w:rsidR="00DA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их тоже 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сразу списывать на затраты</w:t>
      </w:r>
      <w:r w:rsidR="00E333AC">
        <w:rPr>
          <w:rFonts w:ascii="Times New Roman" w:hAnsi="Times New Roman" w:cs="Times New Roman"/>
          <w:sz w:val="28"/>
          <w:szCs w:val="28"/>
        </w:rPr>
        <w:t xml:space="preserve"> </w:t>
      </w:r>
      <w:r w:rsidR="00DA4A6C">
        <w:rPr>
          <w:rFonts w:ascii="Times New Roman" w:hAnsi="Times New Roman" w:cs="Times New Roman"/>
          <w:sz w:val="28"/>
          <w:szCs w:val="28"/>
        </w:rPr>
        <w:t>(без расходов будущих периодов).</w:t>
      </w:r>
    </w:p>
    <w:p w:rsidR="00D75B12" w:rsidRPr="00EA0399" w:rsidRDefault="00D75B12" w:rsidP="00F7365D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5B12" w:rsidRDefault="00F7365D" w:rsidP="00D75B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65D">
        <w:rPr>
          <w:rFonts w:ascii="Times New Roman" w:hAnsi="Times New Roman" w:cs="Times New Roman"/>
          <w:i/>
          <w:sz w:val="28"/>
          <w:szCs w:val="28"/>
        </w:rPr>
        <w:t>Учет основных средств</w:t>
      </w:r>
    </w:p>
    <w:p w:rsidR="00EE1C46" w:rsidRDefault="00D75B12" w:rsidP="00D75B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2">
        <w:rPr>
          <w:rFonts w:ascii="Times New Roman" w:hAnsi="Times New Roman" w:cs="Times New Roman"/>
          <w:sz w:val="28"/>
          <w:szCs w:val="28"/>
        </w:rPr>
        <w:t>Учет основных средств (далее – «ОС») ведется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ФСБУ 6/2020 «Основные средства»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и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по бухгалтерскому учету основных средств, утвержденными Приказом Минфина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России от 13.10.2003 № 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с изменениями от 27.11.2006 № 156н, от 25.10.2010 № 132н, от 24.12.2010 № 186н)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950" w:rsidRDefault="00F51950" w:rsidP="00F5195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использует а</w:t>
      </w:r>
      <w:r w:rsidRPr="00F51950">
        <w:rPr>
          <w:rFonts w:ascii="Times New Roman" w:hAnsi="Times New Roman" w:cs="Times New Roman"/>
          <w:sz w:val="28"/>
          <w:szCs w:val="28"/>
        </w:rPr>
        <w:t>льтерна</w:t>
      </w:r>
      <w:r w:rsidR="00C65D55">
        <w:rPr>
          <w:rFonts w:ascii="Times New Roman" w:hAnsi="Times New Roman" w:cs="Times New Roman"/>
          <w:sz w:val="28"/>
          <w:szCs w:val="28"/>
        </w:rPr>
        <w:t>тивный – перспективный переход, который</w:t>
      </w:r>
      <w:r w:rsidRPr="00F51950">
        <w:rPr>
          <w:rFonts w:ascii="Times New Roman" w:hAnsi="Times New Roman" w:cs="Times New Roman"/>
          <w:sz w:val="28"/>
          <w:szCs w:val="28"/>
        </w:rPr>
        <w:t xml:space="preserve"> подразумевает, что будут скорректированы только входящие данные по ОС на 01.01.2022, а уже далее учет стоимости и амортизации будет вестись по требованиям </w:t>
      </w:r>
      <w:r>
        <w:rPr>
          <w:rFonts w:ascii="Times New Roman" w:hAnsi="Times New Roman" w:cs="Times New Roman"/>
          <w:sz w:val="28"/>
          <w:szCs w:val="28"/>
        </w:rPr>
        <w:t>ФСБУ 6/2020</w:t>
      </w:r>
      <w:r w:rsidRPr="00F51950">
        <w:rPr>
          <w:rFonts w:ascii="Times New Roman" w:hAnsi="Times New Roman" w:cs="Times New Roman"/>
          <w:sz w:val="28"/>
          <w:szCs w:val="28"/>
        </w:rPr>
        <w:t>.</w:t>
      </w:r>
    </w:p>
    <w:p w:rsidR="001A6429" w:rsidRPr="001A6429" w:rsidRDefault="001A6429" w:rsidP="00F5195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Для целей бухгалтерского учета объектом основных сре</w:t>
      </w:r>
      <w:proofErr w:type="gramStart"/>
      <w:r w:rsidRPr="001A6429">
        <w:rPr>
          <w:rFonts w:ascii="Times New Roman" w:hAnsi="Times New Roman" w:cs="Times New Roman"/>
          <w:sz w:val="28"/>
          <w:szCs w:val="28"/>
        </w:rPr>
        <w:t>дств сч</w:t>
      </w:r>
      <w:proofErr w:type="gramEnd"/>
      <w:r w:rsidRPr="001A6429">
        <w:rPr>
          <w:rFonts w:ascii="Times New Roman" w:hAnsi="Times New Roman" w:cs="Times New Roman"/>
          <w:sz w:val="28"/>
          <w:szCs w:val="28"/>
        </w:rPr>
        <w:t>итается актив, характеризующийся одновременно следующими признаками:</w:t>
      </w:r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а) имеет материально-вещественную форму;</w:t>
      </w:r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29">
        <w:rPr>
          <w:rFonts w:ascii="Times New Roman" w:hAnsi="Times New Roman" w:cs="Times New Roman"/>
          <w:sz w:val="28"/>
          <w:szCs w:val="28"/>
        </w:rPr>
        <w:t>б) предназначен для использования организацией в ходе обычной деятельности при производстве и (или) продаже ею продукции (товаров), при выполнении работ или оказании услуг, для охраны окружающей среды, для предоставления за плату во временное пользование, для управленческих нужд, либо для использования в деятельности некоммерческой организации, направленной на достижение целей, ради которых она создана;</w:t>
      </w:r>
      <w:proofErr w:type="gramEnd"/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A642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1A6429">
        <w:rPr>
          <w:rFonts w:ascii="Times New Roman" w:hAnsi="Times New Roman" w:cs="Times New Roman"/>
          <w:sz w:val="28"/>
          <w:szCs w:val="28"/>
        </w:rPr>
        <w:t xml:space="preserve"> для использования организацией в течение периода более 12 месяцев или обычного операционного цикла, превышающего 12 месяцев;</w:t>
      </w:r>
    </w:p>
    <w:p w:rsidR="004E4172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г) способен приносить организации экономические выгоды (доход) в будущем (обеспечить достижение некоммерческой организацией целей, ради которых она создана).</w:t>
      </w:r>
    </w:p>
    <w:p w:rsidR="001A6429" w:rsidRDefault="00D63F80" w:rsidP="001A642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стоимости ОС для целей бухгалте</w:t>
      </w:r>
      <w:r w:rsidR="007E41A2">
        <w:rPr>
          <w:rFonts w:ascii="Times New Roman" w:hAnsi="Times New Roman" w:cs="Times New Roman"/>
          <w:sz w:val="28"/>
          <w:szCs w:val="28"/>
        </w:rPr>
        <w:t>рского учета равен 100 тыс. руб</w:t>
      </w:r>
      <w:r w:rsidR="001A6429">
        <w:rPr>
          <w:rFonts w:ascii="Times New Roman" w:hAnsi="Times New Roman" w:cs="Times New Roman"/>
          <w:sz w:val="28"/>
          <w:szCs w:val="28"/>
        </w:rPr>
        <w:t>.</w:t>
      </w:r>
    </w:p>
    <w:p w:rsidR="006746E1" w:rsidRDefault="006746E1" w:rsidP="006746E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746E1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746E1">
        <w:rPr>
          <w:rFonts w:ascii="Times New Roman" w:hAnsi="Times New Roman" w:cs="Times New Roman"/>
          <w:sz w:val="28"/>
          <w:szCs w:val="28"/>
        </w:rPr>
        <w:t xml:space="preserve"> решение не применять настоящий Стандарт в отношении активов, характеризующихся одновременно признаками, установленным</w:t>
      </w:r>
      <w:r>
        <w:rPr>
          <w:rFonts w:ascii="Times New Roman" w:hAnsi="Times New Roman" w:cs="Times New Roman"/>
          <w:sz w:val="28"/>
          <w:szCs w:val="28"/>
        </w:rPr>
        <w:t>и пунктом 4 ФСБУ 6/2020 «Основные средства»</w:t>
      </w:r>
      <w:r w:rsidRPr="006746E1">
        <w:rPr>
          <w:rFonts w:ascii="Times New Roman" w:hAnsi="Times New Roman" w:cs="Times New Roman"/>
          <w:sz w:val="28"/>
          <w:szCs w:val="28"/>
        </w:rPr>
        <w:t>, но имеющих стоимость ниже лимита</w:t>
      </w:r>
      <w:r>
        <w:rPr>
          <w:rFonts w:ascii="Times New Roman" w:hAnsi="Times New Roman" w:cs="Times New Roman"/>
          <w:sz w:val="28"/>
          <w:szCs w:val="28"/>
        </w:rPr>
        <w:t xml:space="preserve"> (100 тыс. руб.)</w:t>
      </w:r>
      <w:r w:rsidRPr="006746E1">
        <w:rPr>
          <w:rFonts w:ascii="Times New Roman" w:hAnsi="Times New Roman" w:cs="Times New Roman"/>
          <w:sz w:val="28"/>
          <w:szCs w:val="28"/>
        </w:rPr>
        <w:t>, установленного организацией с учетом существенности информации о таких активах. При этом затраты на приобретение, создание таких активов признаются расходами периода, в котором они понесены. Указанное решение раскрывается в бухгалтерской (финансовой) отчетности с указанием лимита стоимости, установленного организацией.</w:t>
      </w:r>
      <w:r>
        <w:t xml:space="preserve"> </w:t>
      </w:r>
      <w:r w:rsidRPr="006746E1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Pr="006746E1">
        <w:rPr>
          <w:rFonts w:ascii="Times New Roman" w:hAnsi="Times New Roman" w:cs="Times New Roman"/>
          <w:sz w:val="28"/>
          <w:szCs w:val="28"/>
        </w:rPr>
        <w:lastRenderedPageBreak/>
        <w:t>обеспечить надлежащий контроль наличия и движения таких активов.</w:t>
      </w:r>
      <w:r w:rsidR="00D63F80">
        <w:rPr>
          <w:rFonts w:ascii="Times New Roman" w:hAnsi="Times New Roman" w:cs="Times New Roman"/>
          <w:sz w:val="28"/>
          <w:szCs w:val="28"/>
        </w:rPr>
        <w:t xml:space="preserve"> После списания малоценного имущества,  учет ведется на </w:t>
      </w:r>
      <w:proofErr w:type="spellStart"/>
      <w:r w:rsidR="00D63F80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D63F80">
        <w:rPr>
          <w:rFonts w:ascii="Times New Roman" w:hAnsi="Times New Roman" w:cs="Times New Roman"/>
          <w:sz w:val="28"/>
          <w:szCs w:val="28"/>
        </w:rPr>
        <w:t xml:space="preserve"> счете.</w:t>
      </w:r>
    </w:p>
    <w:p w:rsidR="00D63F80" w:rsidRPr="00D63F80" w:rsidRDefault="00D63F80" w:rsidP="00D63F8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В соответствии с п. 11 ФСБУ 6/2020 основные средства классифицированы по видам:  </w:t>
      </w:r>
    </w:p>
    <w:p w:rsidR="00D63F80" w:rsidRDefault="00D63F80" w:rsidP="00D63F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машины и оборудование, </w:t>
      </w:r>
    </w:p>
    <w:p w:rsidR="00D63F80" w:rsidRDefault="00D63F80" w:rsidP="00D63F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транспортные средства, </w:t>
      </w:r>
    </w:p>
    <w:p w:rsidR="00553D77" w:rsidRDefault="00D63F80" w:rsidP="00553D7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инвентарь. </w:t>
      </w:r>
    </w:p>
    <w:p w:rsidR="00553D77" w:rsidRPr="00553D77" w:rsidRDefault="00553D77" w:rsidP="00553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ФСБУ 6/2020 устанавливает новые правила начисления амортизации: амортизация по ОС начисляется независимо от результатов деятельности организации в отчетном периоде и приостанавливается, только если ликвидационная стоимость объекта становится равн</w:t>
      </w:r>
      <w:r>
        <w:rPr>
          <w:rFonts w:ascii="Times New Roman" w:hAnsi="Times New Roman" w:cs="Times New Roman"/>
          <w:sz w:val="28"/>
          <w:szCs w:val="28"/>
        </w:rPr>
        <w:t xml:space="preserve">ой или превышает его балансовую </w:t>
      </w:r>
      <w:r w:rsidRPr="00553D77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3D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3D77">
        <w:rPr>
          <w:rFonts w:ascii="Times New Roman" w:hAnsi="Times New Roman" w:cs="Times New Roman"/>
          <w:sz w:val="28"/>
          <w:szCs w:val="28"/>
        </w:rPr>
        <w:t>. 29-30 ФСБУ 6/2020)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D77">
        <w:rPr>
          <w:rFonts w:ascii="Times New Roman" w:hAnsi="Times New Roman" w:cs="Times New Roman"/>
          <w:sz w:val="28"/>
          <w:szCs w:val="28"/>
        </w:rPr>
        <w:t>Ликвидационной стоимостью ОС счит</w:t>
      </w:r>
      <w:r>
        <w:rPr>
          <w:rFonts w:ascii="Times New Roman" w:hAnsi="Times New Roman" w:cs="Times New Roman"/>
          <w:sz w:val="28"/>
          <w:szCs w:val="28"/>
        </w:rPr>
        <w:t>ается величина, которую организация</w:t>
      </w:r>
      <w:r w:rsidRPr="00553D77">
        <w:rPr>
          <w:rFonts w:ascii="Times New Roman" w:hAnsi="Times New Roman" w:cs="Times New Roman"/>
          <w:sz w:val="28"/>
          <w:szCs w:val="28"/>
        </w:rPr>
        <w:t xml:space="preserve"> получила бы в случае выбытия объекта по окончании срока полезного использования (СПИ), включая стоимость остающихся материальных ценностей, и за вычетом предполагаемых затрат на выбытие.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553D7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77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организация, применяющая</w:t>
      </w:r>
      <w:r w:rsidRPr="00553D77">
        <w:rPr>
          <w:rFonts w:ascii="Times New Roman" w:hAnsi="Times New Roman" w:cs="Times New Roman"/>
          <w:sz w:val="28"/>
          <w:szCs w:val="28"/>
        </w:rPr>
        <w:t xml:space="preserve"> упрощенные способы вед</w:t>
      </w:r>
      <w:r>
        <w:rPr>
          <w:rFonts w:ascii="Times New Roman" w:hAnsi="Times New Roman" w:cs="Times New Roman"/>
          <w:sz w:val="28"/>
          <w:szCs w:val="28"/>
        </w:rPr>
        <w:t>ения бухгалтерского учета, может</w:t>
      </w:r>
      <w:r w:rsidRPr="00553D77">
        <w:rPr>
          <w:rFonts w:ascii="Times New Roman" w:hAnsi="Times New Roman" w:cs="Times New Roman"/>
          <w:sz w:val="28"/>
          <w:szCs w:val="28"/>
        </w:rPr>
        <w:t>:</w:t>
      </w:r>
    </w:p>
    <w:p w:rsidR="00553D77" w:rsidRP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а) не применять порядок корректировки первоначальной стоимости основного средства в связи с изменением величины оценочного обязательства по будущему демонтажу, утилизации объекта основных средств и восстановлению окружающей среды, предусмотренный стандартом;</w:t>
      </w:r>
    </w:p>
    <w:p w:rsidR="00553D77" w:rsidRP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б) отказаться от проверки основных средств на обесценение, т.е. оценивать основные средства по балансовой стоимости на отчетную дату;</w:t>
      </w:r>
    </w:p>
    <w:p w:rsid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в) раскрывать в бухгалтерской отчетности информацию об основных средствах в ограниченном объеме.</w:t>
      </w:r>
    </w:p>
    <w:p w:rsidR="00926249" w:rsidRDefault="00926249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Организация применяет следующие правила начисления амортизации и прекращения ее начисления: </w:t>
      </w:r>
    </w:p>
    <w:p w:rsidR="00926249" w:rsidRPr="00926249" w:rsidRDefault="00926249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Начисление амортизации начинается с первого числа месяца, следующего за месяцем признания объекта основных сре</w:t>
      </w:r>
      <w:proofErr w:type="gramStart"/>
      <w:r w:rsidRPr="0092624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26249">
        <w:rPr>
          <w:rFonts w:ascii="Times New Roman" w:hAnsi="Times New Roman" w:cs="Times New Roman"/>
          <w:sz w:val="28"/>
          <w:szCs w:val="28"/>
        </w:rPr>
        <w:t xml:space="preserve">ухгалтерском учете и прекращается с первого числа месяца, следующего за месяцем его списания с учета. </w:t>
      </w:r>
      <w:r w:rsidR="00365FAE">
        <w:rPr>
          <w:rFonts w:ascii="Times New Roman" w:hAnsi="Times New Roman" w:cs="Times New Roman"/>
          <w:sz w:val="28"/>
          <w:szCs w:val="28"/>
        </w:rPr>
        <w:t>(Основание: п. 33 ФСБУ 6/2020).</w:t>
      </w:r>
    </w:p>
    <w:p w:rsidR="00365FAE" w:rsidRP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 xml:space="preserve">Объекты основных средств, выведенные из эксплуатации, по которым принято решение о ликвидации (демонтаже), списываются с бухгалтерского учета. Остаточная стоимость таких ОС относится на прочие расходы организации. До момента фактической ликвидации (демонтажа) </w:t>
      </w:r>
      <w:r w:rsidRPr="00365FAE">
        <w:rPr>
          <w:rFonts w:ascii="Times New Roman" w:hAnsi="Times New Roman" w:cs="Times New Roman"/>
          <w:sz w:val="28"/>
          <w:szCs w:val="28"/>
        </w:rPr>
        <w:lastRenderedPageBreak/>
        <w:t xml:space="preserve">данное имущество в целях обеспечения его сохранности учитывается за балансом.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5FAE">
        <w:rPr>
          <w:rFonts w:ascii="Times New Roman" w:hAnsi="Times New Roman" w:cs="Times New Roman"/>
          <w:sz w:val="28"/>
          <w:szCs w:val="28"/>
        </w:rPr>
        <w:t>Основание п. 40 ФСБУ 6/2020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использует линейный способ начисления амортизаци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65F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5FAE">
        <w:rPr>
          <w:rFonts w:ascii="Times New Roman" w:hAnsi="Times New Roman" w:cs="Times New Roman"/>
          <w:sz w:val="28"/>
          <w:szCs w:val="28"/>
        </w:rPr>
        <w:t xml:space="preserve">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объекта.</w:t>
      </w:r>
    </w:p>
    <w:p w:rsidR="00365FAE" w:rsidRPr="00365FAE" w:rsidRDefault="00365FAE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Default="00365FAE" w:rsidP="00365FA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65FAE">
        <w:rPr>
          <w:rFonts w:ascii="Times New Roman" w:hAnsi="Times New Roman" w:cs="Times New Roman"/>
          <w:i/>
          <w:sz w:val="28"/>
          <w:szCs w:val="28"/>
        </w:rPr>
        <w:t>Бухгалтерская (финансовая) отчетность организации</w:t>
      </w:r>
    </w:p>
    <w:p w:rsidR="00E333AC" w:rsidRDefault="00E333AC" w:rsidP="00E333AC">
      <w:pPr>
        <w:pStyle w:val="a3"/>
        <w:ind w:left="570"/>
        <w:rPr>
          <w:rFonts w:ascii="Times New Roman" w:hAnsi="Times New Roman" w:cs="Times New Roman"/>
          <w:i/>
          <w:sz w:val="28"/>
          <w:szCs w:val="28"/>
        </w:rPr>
      </w:pPr>
    </w:p>
    <w:p w:rsidR="00365FAE" w:rsidRDefault="00FF3030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5FAE" w:rsidRPr="00365FAE">
        <w:rPr>
          <w:rFonts w:ascii="Times New Roman" w:hAnsi="Times New Roman" w:cs="Times New Roman"/>
          <w:sz w:val="28"/>
          <w:szCs w:val="28"/>
        </w:rPr>
        <w:t>огласно ст.13 Закона «О бухгалтерском учете» составляет</w:t>
      </w:r>
      <w:r>
        <w:rPr>
          <w:rFonts w:ascii="Times New Roman" w:hAnsi="Times New Roman" w:cs="Times New Roman"/>
          <w:sz w:val="28"/>
          <w:szCs w:val="28"/>
        </w:rPr>
        <w:t>ся годовая бухгалтерская (финансовая</w:t>
      </w:r>
      <w:r w:rsidR="00365FAE" w:rsidRPr="00365FAE">
        <w:rPr>
          <w:rFonts w:ascii="Times New Roman" w:hAnsi="Times New Roman" w:cs="Times New Roman"/>
          <w:sz w:val="28"/>
          <w:szCs w:val="28"/>
        </w:rPr>
        <w:t xml:space="preserve">) отчетность за отчетный год. </w:t>
      </w:r>
      <w:r w:rsidR="00365FAE" w:rsidRPr="00365FA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>Годовая бухгалтерская (финансовая) отчетность состоит из бухгалтерского баланса, отчета о целевом использовании средств и приложений к ним, составляется она в валюте Российской Федерации, и отчета о доходах и расходах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FAE">
        <w:rPr>
          <w:rFonts w:ascii="Times New Roman" w:hAnsi="Times New Roman" w:cs="Times New Roman"/>
          <w:sz w:val="28"/>
          <w:szCs w:val="28"/>
        </w:rPr>
        <w:t>случае, если возникают внереализационные доходы и/или расходы</w:t>
      </w:r>
    </w:p>
    <w:p w:rsidR="00365FAE" w:rsidRDefault="00FF3030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</w:t>
      </w:r>
      <w:r w:rsidR="00365FAE" w:rsidRPr="00365F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65FAE" w:rsidRPr="00365FAE">
        <w:rPr>
          <w:rFonts w:ascii="Times New Roman" w:hAnsi="Times New Roman" w:cs="Times New Roman"/>
          <w:sz w:val="28"/>
          <w:szCs w:val="28"/>
        </w:rPr>
        <w:t xml:space="preserve"> в качестве форм бухгалтерской</w:t>
      </w:r>
      <w:r w:rsidR="00365FAE">
        <w:rPr>
          <w:rFonts w:ascii="Times New Roman" w:hAnsi="Times New Roman" w:cs="Times New Roman"/>
          <w:sz w:val="28"/>
          <w:szCs w:val="28"/>
        </w:rPr>
        <w:t xml:space="preserve"> </w:t>
      </w:r>
      <w:r w:rsidR="00365FAE" w:rsidRPr="00365FAE">
        <w:rPr>
          <w:rFonts w:ascii="Times New Roman" w:hAnsi="Times New Roman" w:cs="Times New Roman"/>
          <w:sz w:val="28"/>
          <w:szCs w:val="28"/>
        </w:rPr>
        <w:t>отчетности образцы форм, утвержденных Приказом Минфина России от 02.07.2010 № 66н «О формах бухгалтерской отчетности организаций».</w:t>
      </w:r>
    </w:p>
    <w:p w:rsidR="00365FAE" w:rsidRDefault="00365FAE" w:rsidP="00FF303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считается составленной после подписания ее экземпляра на бумажном носителе </w:t>
      </w:r>
      <w:r w:rsidR="00FF3030">
        <w:rPr>
          <w:rFonts w:ascii="Times New Roman" w:hAnsi="Times New Roman" w:cs="Times New Roman"/>
          <w:sz w:val="28"/>
          <w:szCs w:val="28"/>
        </w:rPr>
        <w:t>П</w:t>
      </w:r>
      <w:r w:rsidRPr="00365FA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FF3030" w:rsidRPr="00FF3030">
        <w:rPr>
          <w:rFonts w:ascii="Times New Roman" w:hAnsi="Times New Roman" w:cs="Times New Roman"/>
          <w:sz w:val="28"/>
          <w:szCs w:val="28"/>
        </w:rPr>
        <w:t>Областной</w:t>
      </w:r>
      <w:r w:rsidRPr="00365FAE">
        <w:rPr>
          <w:rFonts w:ascii="Times New Roman" w:hAnsi="Times New Roman" w:cs="Times New Roman"/>
          <w:sz w:val="28"/>
          <w:szCs w:val="28"/>
        </w:rPr>
        <w:t xml:space="preserve"> организации. Отчетность представляется в органы статистики и в инспекцию ФНС в электронном виде.</w:t>
      </w:r>
    </w:p>
    <w:p w:rsidR="00011369" w:rsidRDefault="00365FAE" w:rsidP="00CD1D8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>В качестве документа для внутренней финансовой отчетности профсоюзная организация использует форму финансового отчета 10-ПБ «Отчет о доходах и расходах профсоюзной организации», утвержденную постановлением</w:t>
      </w:r>
      <w:r w:rsidR="00CD1D86">
        <w:rPr>
          <w:rFonts w:ascii="Times New Roman" w:hAnsi="Times New Roman" w:cs="Times New Roman"/>
          <w:sz w:val="28"/>
          <w:szCs w:val="28"/>
        </w:rPr>
        <w:t xml:space="preserve"> </w:t>
      </w:r>
      <w:r w:rsidRPr="00CD1D86">
        <w:rPr>
          <w:rFonts w:ascii="Times New Roman" w:hAnsi="Times New Roman" w:cs="Times New Roman"/>
          <w:sz w:val="28"/>
          <w:szCs w:val="28"/>
        </w:rPr>
        <w:t>Исполнительного комитета ФНПР от 24.12.2008 года № 7-</w:t>
      </w:r>
      <w:r w:rsidR="0068251C">
        <w:rPr>
          <w:rFonts w:ascii="Times New Roman" w:hAnsi="Times New Roman" w:cs="Times New Roman"/>
          <w:sz w:val="28"/>
          <w:szCs w:val="28"/>
        </w:rPr>
        <w:t>(Приложение №2</w:t>
      </w:r>
      <w:r w:rsidR="00011369">
        <w:rPr>
          <w:rFonts w:ascii="Times New Roman" w:hAnsi="Times New Roman" w:cs="Times New Roman"/>
          <w:sz w:val="28"/>
          <w:szCs w:val="28"/>
        </w:rPr>
        <w:t>)</w:t>
      </w:r>
    </w:p>
    <w:p w:rsidR="00553D77" w:rsidRDefault="00365FAE" w:rsidP="00CD1D8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D86">
        <w:rPr>
          <w:rFonts w:ascii="Times New Roman" w:hAnsi="Times New Roman" w:cs="Times New Roman"/>
          <w:sz w:val="28"/>
          <w:szCs w:val="28"/>
        </w:rPr>
        <w:t>12. Данный отчет представляется в соответствующий профсоюзный о</w:t>
      </w:r>
      <w:r w:rsidR="00CD1D86" w:rsidRPr="00CD1D86">
        <w:rPr>
          <w:rFonts w:ascii="Times New Roman" w:hAnsi="Times New Roman" w:cs="Times New Roman"/>
          <w:sz w:val="28"/>
          <w:szCs w:val="28"/>
        </w:rPr>
        <w:t xml:space="preserve">рган в установленные им сроки. </w:t>
      </w:r>
    </w:p>
    <w:p w:rsidR="00AC7AA1" w:rsidRDefault="00AC7AA1" w:rsidP="00C05CD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5CD8" w:rsidRPr="00CD1D86" w:rsidRDefault="00C05CD8" w:rsidP="00C05CD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4172" w:rsidRDefault="008F1C72" w:rsidP="008F1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C72">
        <w:rPr>
          <w:rFonts w:ascii="Times New Roman" w:hAnsi="Times New Roman" w:cs="Times New Roman"/>
          <w:b/>
          <w:sz w:val="32"/>
          <w:szCs w:val="32"/>
        </w:rPr>
        <w:t>Учетная политика для целей налогового учета</w:t>
      </w:r>
    </w:p>
    <w:p w:rsidR="00313393" w:rsidRDefault="00302EB0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</w:t>
      </w:r>
      <w:r w:rsidR="00FF3030">
        <w:rPr>
          <w:rFonts w:ascii="Times New Roman" w:hAnsi="Times New Roman" w:cs="Times New Roman"/>
          <w:sz w:val="28"/>
          <w:szCs w:val="28"/>
        </w:rPr>
        <w:t>бластная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>
        <w:rPr>
          <w:rFonts w:ascii="Times New Roman" w:hAnsi="Times New Roman" w:cs="Times New Roman"/>
          <w:sz w:val="28"/>
          <w:szCs w:val="28"/>
        </w:rPr>
        <w:t>организация применяет основную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систему налогообложения. Организация осуществляет некоммерческую деятельность.</w:t>
      </w:r>
      <w:r w:rsid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 w:rsidRPr="008F1C72">
        <w:rPr>
          <w:rFonts w:ascii="Times New Roman" w:hAnsi="Times New Roman" w:cs="Times New Roman"/>
          <w:sz w:val="28"/>
          <w:szCs w:val="28"/>
        </w:rPr>
        <w:t>Учет доходов и расходов</w:t>
      </w:r>
      <w:r w:rsid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 w:rsidRPr="008F1C72">
        <w:rPr>
          <w:rFonts w:ascii="Times New Roman" w:hAnsi="Times New Roman" w:cs="Times New Roman"/>
          <w:sz w:val="28"/>
          <w:szCs w:val="28"/>
        </w:rPr>
        <w:lastRenderedPageBreak/>
        <w:t>для целей налогообложения ведется автоматизированным способом с применением специализир</w:t>
      </w:r>
      <w:r w:rsidR="008F1C72">
        <w:rPr>
          <w:rFonts w:ascii="Times New Roman" w:hAnsi="Times New Roman" w:cs="Times New Roman"/>
          <w:sz w:val="28"/>
          <w:szCs w:val="28"/>
        </w:rPr>
        <w:t>ованной бухгалтерской программы 1С Предприятие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и частичной обработкой со</w:t>
      </w:r>
      <w:r w:rsidR="008F1C72">
        <w:rPr>
          <w:rFonts w:ascii="Times New Roman" w:hAnsi="Times New Roman" w:cs="Times New Roman"/>
          <w:sz w:val="28"/>
          <w:szCs w:val="28"/>
        </w:rPr>
        <w:t xml:space="preserve">ответствующей информации ручным 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способом с применением регистров бухгалтерского учета. Применяемые регистры бухгалтерского учета одновременно </w:t>
      </w:r>
      <w:r w:rsidR="00313393">
        <w:rPr>
          <w:rFonts w:ascii="Times New Roman" w:hAnsi="Times New Roman" w:cs="Times New Roman"/>
          <w:sz w:val="28"/>
          <w:szCs w:val="28"/>
        </w:rPr>
        <w:t xml:space="preserve">являются налоговыми регистрами. </w:t>
      </w:r>
    </w:p>
    <w:p w:rsidR="008F1C72" w:rsidRPr="008F1C72" w:rsidRDefault="00FF3030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1C72" w:rsidRPr="008F1C72">
        <w:rPr>
          <w:rFonts w:ascii="Times New Roman" w:hAnsi="Times New Roman" w:cs="Times New Roman"/>
          <w:sz w:val="28"/>
          <w:szCs w:val="28"/>
        </w:rPr>
        <w:t>алоговый учет и нало</w:t>
      </w:r>
      <w:r w:rsidR="00313393">
        <w:rPr>
          <w:rFonts w:ascii="Times New Roman" w:hAnsi="Times New Roman" w:cs="Times New Roman"/>
          <w:sz w:val="28"/>
          <w:szCs w:val="28"/>
        </w:rPr>
        <w:t>говая о</w:t>
      </w:r>
      <w:r w:rsidR="00302EB0">
        <w:rPr>
          <w:rFonts w:ascii="Times New Roman" w:hAnsi="Times New Roman" w:cs="Times New Roman"/>
          <w:sz w:val="28"/>
          <w:szCs w:val="28"/>
        </w:rPr>
        <w:t xml:space="preserve">тчетность осуществляется </w:t>
      </w:r>
      <w:r w:rsidR="00313393">
        <w:rPr>
          <w:rFonts w:ascii="Times New Roman" w:hAnsi="Times New Roman" w:cs="Times New Roman"/>
          <w:sz w:val="28"/>
          <w:szCs w:val="28"/>
        </w:rPr>
        <w:t xml:space="preserve"> бухгалтером </w:t>
      </w:r>
      <w:r w:rsidR="00302EB0">
        <w:rPr>
          <w:rFonts w:ascii="Times New Roman" w:hAnsi="Times New Roman" w:cs="Times New Roman"/>
          <w:sz w:val="28"/>
          <w:szCs w:val="28"/>
        </w:rPr>
        <w:t>Московской о</w:t>
      </w:r>
      <w:r w:rsidRPr="00FF3030">
        <w:rPr>
          <w:rFonts w:ascii="Times New Roman" w:hAnsi="Times New Roman" w:cs="Times New Roman"/>
          <w:sz w:val="28"/>
          <w:szCs w:val="28"/>
        </w:rPr>
        <w:t>бластной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F1C72" w:rsidRDefault="008F1C72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C72">
        <w:rPr>
          <w:rFonts w:ascii="Times New Roman" w:hAnsi="Times New Roman" w:cs="Times New Roman"/>
          <w:sz w:val="28"/>
          <w:szCs w:val="28"/>
        </w:rPr>
        <w:t>Ответственность за правильность составления и реализацию налоговой учетной политики, а также за состояние расчетов несет главный бухгалтер</w:t>
      </w:r>
      <w:r w:rsidR="00313393">
        <w:rPr>
          <w:rFonts w:ascii="Times New Roman" w:hAnsi="Times New Roman" w:cs="Times New Roman"/>
          <w:sz w:val="28"/>
          <w:szCs w:val="28"/>
        </w:rPr>
        <w:t>.</w:t>
      </w:r>
    </w:p>
    <w:p w:rsidR="00ED1BDF" w:rsidRDefault="00ED1BDF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Default="00313393" w:rsidP="00ED1B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BDF">
        <w:rPr>
          <w:rFonts w:ascii="Times New Roman" w:hAnsi="Times New Roman" w:cs="Times New Roman"/>
          <w:sz w:val="28"/>
          <w:szCs w:val="28"/>
        </w:rPr>
        <w:t xml:space="preserve"> </w:t>
      </w:r>
      <w:r w:rsidRPr="00ED1BDF">
        <w:rPr>
          <w:rFonts w:ascii="Times New Roman" w:hAnsi="Times New Roman" w:cs="Times New Roman"/>
          <w:i/>
          <w:sz w:val="28"/>
          <w:szCs w:val="28"/>
        </w:rPr>
        <w:t>Общая система налогообложения. Общие положения</w:t>
      </w:r>
    </w:p>
    <w:p w:rsidR="00E333AC" w:rsidRPr="00ED1BDF" w:rsidRDefault="00E333AC" w:rsidP="00E333AC">
      <w:pPr>
        <w:pStyle w:val="a3"/>
        <w:spacing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3393" w:rsidRDefault="00313393" w:rsidP="00313393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393">
        <w:rPr>
          <w:rFonts w:ascii="Times New Roman" w:hAnsi="Times New Roman" w:cs="Times New Roman"/>
          <w:sz w:val="28"/>
          <w:szCs w:val="28"/>
        </w:rPr>
        <w:t>Членские профсоюзные взносы и другие целевые поступления, являющиеся доходами, на основании п.2 ст.251 главы 25 части второй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93">
        <w:rPr>
          <w:rFonts w:ascii="Times New Roman" w:hAnsi="Times New Roman" w:cs="Times New Roman"/>
          <w:sz w:val="28"/>
          <w:szCs w:val="28"/>
        </w:rPr>
        <w:t>РФ, не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налоговой базы</w:t>
      </w:r>
      <w:r w:rsidRPr="00313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393" w:rsidRDefault="0044637F" w:rsidP="0044637F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внереализационных доходов или доходов от реализации</w:t>
      </w:r>
      <w:r w:rsidRPr="0044637F">
        <w:rPr>
          <w:rFonts w:ascii="Times New Roman" w:hAnsi="Times New Roman" w:cs="Times New Roman"/>
          <w:sz w:val="28"/>
          <w:szCs w:val="28"/>
        </w:rPr>
        <w:t xml:space="preserve"> товаров (работ, услуг) и имущественных прав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13393" w:rsidRPr="0044637F">
        <w:rPr>
          <w:rFonts w:ascii="Times New Roman" w:hAnsi="Times New Roman" w:cs="Times New Roman"/>
          <w:sz w:val="28"/>
          <w:szCs w:val="28"/>
        </w:rPr>
        <w:t xml:space="preserve"> соответствии с п. 1 ст. 248 НК РФ </w:t>
      </w:r>
      <w:r>
        <w:rPr>
          <w:rFonts w:ascii="Times New Roman" w:hAnsi="Times New Roman" w:cs="Times New Roman"/>
          <w:sz w:val="28"/>
          <w:szCs w:val="28"/>
        </w:rPr>
        <w:t xml:space="preserve">образуется налогооблагаемая база к доходам </w:t>
      </w:r>
      <w:r w:rsidRPr="0044637F">
        <w:rPr>
          <w:rFonts w:ascii="Times New Roman" w:hAnsi="Times New Roman" w:cs="Times New Roman"/>
          <w:sz w:val="28"/>
          <w:szCs w:val="28"/>
        </w:rPr>
        <w:t xml:space="preserve"> гл. 25 НК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7F" w:rsidRDefault="0044637F" w:rsidP="0044637F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7F">
        <w:rPr>
          <w:rFonts w:ascii="Times New Roman" w:hAnsi="Times New Roman" w:cs="Times New Roman"/>
          <w:sz w:val="28"/>
          <w:szCs w:val="28"/>
        </w:rPr>
        <w:t>Доходы и расходы для ц</w:t>
      </w:r>
      <w:r>
        <w:rPr>
          <w:rFonts w:ascii="Times New Roman" w:hAnsi="Times New Roman" w:cs="Times New Roman"/>
          <w:sz w:val="28"/>
          <w:szCs w:val="28"/>
        </w:rPr>
        <w:t>елей налогообложения признаются кассовым методом.</w:t>
      </w:r>
    </w:p>
    <w:p w:rsidR="00556F0D" w:rsidRDefault="00556F0D" w:rsidP="00556F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7F" w:rsidRDefault="0044637F" w:rsidP="0044637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37F">
        <w:rPr>
          <w:rFonts w:ascii="Times New Roman" w:hAnsi="Times New Roman" w:cs="Times New Roman"/>
          <w:sz w:val="28"/>
          <w:szCs w:val="28"/>
        </w:rPr>
        <w:t xml:space="preserve"> </w:t>
      </w:r>
      <w:r w:rsidRPr="00556F0D">
        <w:rPr>
          <w:rFonts w:ascii="Times New Roman" w:hAnsi="Times New Roman" w:cs="Times New Roman"/>
          <w:i/>
          <w:sz w:val="28"/>
          <w:szCs w:val="28"/>
        </w:rPr>
        <w:t xml:space="preserve">Налог на доходы физических лиц </w:t>
      </w:r>
    </w:p>
    <w:p w:rsidR="00E333AC" w:rsidRPr="00556F0D" w:rsidRDefault="00E333AC" w:rsidP="00E333AC">
      <w:pPr>
        <w:pStyle w:val="a3"/>
        <w:spacing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F0D" w:rsidRPr="00556F0D" w:rsidRDefault="0044637F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Учет доходов, выплаченных физическим лицам, в отношении которых организация выступает в качестве налогового агента, предоставленных налоговых вычетов, а также сумм исчисленного и удержанного с них НД</w:t>
      </w:r>
      <w:r w:rsidR="00C05CD8">
        <w:rPr>
          <w:rFonts w:ascii="Times New Roman" w:hAnsi="Times New Roman" w:cs="Times New Roman"/>
          <w:sz w:val="28"/>
          <w:szCs w:val="28"/>
        </w:rPr>
        <w:t>ФЛ ведется в налоговом регистре.</w:t>
      </w:r>
    </w:p>
    <w:p w:rsidR="0044637F" w:rsidRDefault="0044637F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Учет перечислений Н</w:t>
      </w:r>
      <w:r w:rsidR="0068251C">
        <w:rPr>
          <w:rFonts w:ascii="Times New Roman" w:hAnsi="Times New Roman" w:cs="Times New Roman"/>
          <w:sz w:val="28"/>
          <w:szCs w:val="28"/>
        </w:rPr>
        <w:t>ДФЛ ведется в регистре</w:t>
      </w:r>
      <w:r w:rsidRPr="00556F0D">
        <w:rPr>
          <w:rFonts w:ascii="Times New Roman" w:hAnsi="Times New Roman" w:cs="Times New Roman"/>
          <w:sz w:val="28"/>
          <w:szCs w:val="28"/>
        </w:rPr>
        <w:t>. (Основание: п. 1 ст. 230 НК РФ</w:t>
      </w:r>
      <w:r w:rsidR="00556F0D">
        <w:rPr>
          <w:rFonts w:ascii="Times New Roman" w:hAnsi="Times New Roman" w:cs="Times New Roman"/>
          <w:sz w:val="28"/>
          <w:szCs w:val="28"/>
        </w:rPr>
        <w:t>).</w:t>
      </w:r>
    </w:p>
    <w:p w:rsidR="00556F0D" w:rsidRDefault="00556F0D" w:rsidP="00556F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Default="00F51208" w:rsidP="00556F0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Расче</w:t>
      </w:r>
      <w:r w:rsidR="00E82A1D">
        <w:rPr>
          <w:rFonts w:ascii="Times New Roman" w:hAnsi="Times New Roman" w:cs="Times New Roman"/>
          <w:i/>
          <w:sz w:val="28"/>
          <w:szCs w:val="28"/>
        </w:rPr>
        <w:t>ты</w:t>
      </w:r>
      <w:r w:rsidR="003D0D4F">
        <w:rPr>
          <w:rFonts w:ascii="Times New Roman" w:hAnsi="Times New Roman" w:cs="Times New Roman"/>
          <w:i/>
          <w:sz w:val="28"/>
          <w:szCs w:val="28"/>
        </w:rPr>
        <w:t xml:space="preserve"> по Единому тарифу </w:t>
      </w:r>
    </w:p>
    <w:p w:rsidR="00E92FC0" w:rsidRDefault="00E92FC0" w:rsidP="00E92FC0">
      <w:pPr>
        <w:pStyle w:val="a3"/>
        <w:spacing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F0D" w:rsidRPr="00525C30" w:rsidRDefault="00E82A1D" w:rsidP="00E82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производятся с у</w:t>
      </w:r>
      <w:r w:rsidR="00556F0D" w:rsidRPr="00525C30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56F0D" w:rsidRPr="00525C30">
        <w:rPr>
          <w:rFonts w:ascii="Times New Roman" w:hAnsi="Times New Roman" w:cs="Times New Roman"/>
          <w:sz w:val="28"/>
          <w:szCs w:val="28"/>
        </w:rPr>
        <w:t xml:space="preserve"> сумм начисленных выплат и иных вознаграждений, а также относящихся к н</w:t>
      </w:r>
      <w:r w:rsidR="00F51208" w:rsidRPr="00525C30">
        <w:rPr>
          <w:rFonts w:ascii="Times New Roman" w:hAnsi="Times New Roman" w:cs="Times New Roman"/>
          <w:sz w:val="28"/>
          <w:szCs w:val="28"/>
        </w:rPr>
        <w:t>им сумм страховых взносов</w:t>
      </w:r>
      <w:r w:rsidR="00556F0D" w:rsidRPr="00525C30">
        <w:rPr>
          <w:rFonts w:ascii="Times New Roman" w:hAnsi="Times New Roman" w:cs="Times New Roman"/>
          <w:sz w:val="28"/>
          <w:szCs w:val="28"/>
        </w:rPr>
        <w:t xml:space="preserve"> по каждому физическому лицу, в пользу которого осуществлялись выплаты и в отношении которого организация выступает плательщиком, ведется в рег</w:t>
      </w:r>
      <w:r w:rsidR="003D0D4F" w:rsidRPr="00525C30">
        <w:rPr>
          <w:rFonts w:ascii="Times New Roman" w:hAnsi="Times New Roman" w:cs="Times New Roman"/>
          <w:sz w:val="28"/>
          <w:szCs w:val="28"/>
        </w:rPr>
        <w:t>истрах учета.</w:t>
      </w:r>
      <w:r w:rsidR="00556F0D" w:rsidRPr="00525C30">
        <w:rPr>
          <w:rFonts w:ascii="Times New Roman" w:hAnsi="Times New Roman" w:cs="Times New Roman"/>
          <w:sz w:val="28"/>
          <w:szCs w:val="28"/>
        </w:rPr>
        <w:t xml:space="preserve"> (Основание: </w:t>
      </w:r>
      <w:proofErr w:type="spellStart"/>
      <w:r w:rsidR="00556F0D" w:rsidRPr="00525C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56F0D" w:rsidRPr="00525C30">
        <w:rPr>
          <w:rFonts w:ascii="Times New Roman" w:hAnsi="Times New Roman" w:cs="Times New Roman"/>
          <w:sz w:val="28"/>
          <w:szCs w:val="28"/>
        </w:rPr>
        <w:t>. 2 п. 3.4 ст. 23, п. п. 4, 6 ст. 431 НК РФ)</w:t>
      </w:r>
    </w:p>
    <w:p w:rsidR="00E92FC0" w:rsidRPr="00525C30" w:rsidRDefault="00E92FC0" w:rsidP="00E92F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AA1" w:rsidRPr="00AC7AA1" w:rsidRDefault="00AC7AA1" w:rsidP="00AC7AA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Расчеты с Фондом Социальным фондом России </w:t>
      </w:r>
      <w:r w:rsidRPr="00AC7AA1">
        <w:t xml:space="preserve"> </w:t>
      </w:r>
      <w:r w:rsidRPr="00AC7AA1">
        <w:rPr>
          <w:rFonts w:ascii="Times New Roman" w:hAnsi="Times New Roman" w:cs="Times New Roman"/>
          <w:i/>
          <w:sz w:val="28"/>
          <w:szCs w:val="28"/>
        </w:rPr>
        <w:t>по  обязательному социальному страхованию от несчастных случаев на производстве и профзаболеваний.</w:t>
      </w:r>
    </w:p>
    <w:p w:rsidR="00EA624D" w:rsidRDefault="00EA624D" w:rsidP="00EA624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C30">
        <w:rPr>
          <w:rFonts w:ascii="Times New Roman" w:hAnsi="Times New Roman" w:cs="Times New Roman"/>
          <w:sz w:val="28"/>
          <w:szCs w:val="28"/>
        </w:rPr>
        <w:t>Сумма взносов исчисляется по итогам каждого календарного месяца исходя из величины выплат и иных вознаграждений, начисленных с начала расчетного периода до окончания соответствующего календарного месяца, и тарифов взносов с учетом скидок</w:t>
      </w:r>
      <w:r w:rsidRPr="00EA624D">
        <w:rPr>
          <w:rFonts w:ascii="Times New Roman" w:hAnsi="Times New Roman" w:cs="Times New Roman"/>
          <w:sz w:val="28"/>
          <w:szCs w:val="28"/>
        </w:rPr>
        <w:t xml:space="preserve"> (надбавок) к тарифу, за вычетом сумм взносов, исчисленных с начала расчетного периода по предшествующий календарный месяц включительно (п. 9 ст. 22.1 Закона № 125-ФЗ).</w:t>
      </w:r>
      <w:proofErr w:type="gramEnd"/>
    </w:p>
    <w:p w:rsidR="00EA624D" w:rsidRPr="00EA624D" w:rsidRDefault="00EA624D" w:rsidP="00EA624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4D">
        <w:rPr>
          <w:rFonts w:ascii="Times New Roman" w:hAnsi="Times New Roman" w:cs="Times New Roman"/>
          <w:sz w:val="28"/>
          <w:szCs w:val="28"/>
        </w:rPr>
        <w:t>Взносы «на травматизм» за соответствующий месяц уплачиваются отдельными платежами не позднее 15-го числа следующего календарного месяца. Если соответствующая дата выпадает на выходной и (или) нерабочий праздничный день, окончание срока переносится на ближайший следующий за ним рабочий день (п. 4 ст. 22 Закона № 125-ФЗ).</w:t>
      </w:r>
    </w:p>
    <w:p w:rsidR="00EA624D" w:rsidRPr="00EA624D" w:rsidRDefault="00EA624D" w:rsidP="00EA624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4D">
        <w:rPr>
          <w:rFonts w:ascii="Times New Roman" w:hAnsi="Times New Roman" w:cs="Times New Roman"/>
          <w:sz w:val="28"/>
          <w:szCs w:val="28"/>
        </w:rPr>
        <w:t>Платежи по взносам «на травматизм» не включаются в состав единого налогового платежа (ЕНП).</w:t>
      </w:r>
    </w:p>
    <w:p w:rsidR="00EA624D" w:rsidRDefault="00EA624D" w:rsidP="00EA624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4D">
        <w:rPr>
          <w:rFonts w:ascii="Times New Roman" w:hAnsi="Times New Roman" w:cs="Times New Roman"/>
          <w:sz w:val="28"/>
          <w:szCs w:val="28"/>
        </w:rPr>
        <w:t>Сумма взносов, подлежащая перечислению, определяется в рублях и копейках (п. 10 ст. 22.1 Закона № 125-ФЗ).</w:t>
      </w:r>
    </w:p>
    <w:p w:rsidR="00556F0D" w:rsidRPr="00EA624D" w:rsidRDefault="00556F0D" w:rsidP="00EA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AC" w:rsidRPr="00E333AC" w:rsidRDefault="00556F0D" w:rsidP="00E333A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6F0D">
        <w:rPr>
          <w:rFonts w:ascii="Times New Roman" w:hAnsi="Times New Roman" w:cs="Times New Roman"/>
          <w:i/>
          <w:sz w:val="28"/>
          <w:szCs w:val="28"/>
        </w:rPr>
        <w:t>Основные средства.</w:t>
      </w:r>
    </w:p>
    <w:p w:rsidR="00556F0D" w:rsidRPr="00016457" w:rsidRDefault="00556F0D" w:rsidP="00556F0D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В налоговом учете под основными средствами понимают активы, у которых срок полезного использования превышает 12 месяцев, а стоимость - 100 000 руб. Если имущество подходит под эти критерии, для такого актива надо выбрать группу и срок использования, а затем списывать через амортизацию.</w:t>
      </w:r>
    </w:p>
    <w:p w:rsidR="00016457" w:rsidRPr="00B10CAB" w:rsidRDefault="00016457" w:rsidP="00016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3AC" w:rsidRPr="00E333AC" w:rsidRDefault="00525C30" w:rsidP="00E333A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Материальные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6457" w:rsidRPr="00016457">
        <w:rPr>
          <w:rFonts w:ascii="Times New Roman" w:hAnsi="Times New Roman" w:cs="Times New Roman"/>
          <w:i/>
          <w:sz w:val="28"/>
          <w:szCs w:val="28"/>
          <w:lang w:val="en-US"/>
        </w:rPr>
        <w:t>расходы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6F0D" w:rsidRPr="00556F0D" w:rsidRDefault="00556F0D" w:rsidP="00016457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Основные средства, стоимость которых равна 100 000 руб. и менее, относят к имуществу, которое не является амортизируемым, и списывают в составе материальных расходов (п. 1 ст. 256, подп. 3 п. 1 ст. 254 НК).</w:t>
      </w:r>
    </w:p>
    <w:p w:rsidR="00556F0D" w:rsidRPr="00556F0D" w:rsidRDefault="00556F0D" w:rsidP="00556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113" w:rsidRPr="00016457" w:rsidRDefault="008A4113" w:rsidP="00556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113" w:rsidRPr="00016457" w:rsidSect="00872542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1A" w:rsidRDefault="0075161A" w:rsidP="00872542">
      <w:pPr>
        <w:spacing w:after="0" w:line="240" w:lineRule="auto"/>
      </w:pPr>
      <w:r>
        <w:separator/>
      </w:r>
    </w:p>
  </w:endnote>
  <w:endnote w:type="continuationSeparator" w:id="0">
    <w:p w:rsidR="0075161A" w:rsidRDefault="0075161A" w:rsidP="008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1A" w:rsidRDefault="0075161A" w:rsidP="00872542">
      <w:pPr>
        <w:spacing w:after="0" w:line="240" w:lineRule="auto"/>
      </w:pPr>
      <w:r>
        <w:separator/>
      </w:r>
    </w:p>
  </w:footnote>
  <w:footnote w:type="continuationSeparator" w:id="0">
    <w:p w:rsidR="0075161A" w:rsidRDefault="0075161A" w:rsidP="0087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51127"/>
      <w:docPartObj>
        <w:docPartGallery w:val="Page Numbers (Top of Page)"/>
        <w:docPartUnique/>
      </w:docPartObj>
    </w:sdtPr>
    <w:sdtEndPr/>
    <w:sdtContent>
      <w:p w:rsidR="00872542" w:rsidRDefault="008725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0E">
          <w:rPr>
            <w:noProof/>
          </w:rPr>
          <w:t>16</w:t>
        </w:r>
        <w:r>
          <w:fldChar w:fldCharType="end"/>
        </w:r>
      </w:p>
    </w:sdtContent>
  </w:sdt>
  <w:p w:rsidR="00872542" w:rsidRDefault="008725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C4D"/>
    <w:multiLevelType w:val="hybridMultilevel"/>
    <w:tmpl w:val="B9125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3A39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422E5D"/>
    <w:multiLevelType w:val="hybridMultilevel"/>
    <w:tmpl w:val="E62E166C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66847AB"/>
    <w:multiLevelType w:val="hybridMultilevel"/>
    <w:tmpl w:val="7E7A94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CA58B7"/>
    <w:multiLevelType w:val="multilevel"/>
    <w:tmpl w:val="0546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u w:val="none"/>
      </w:rPr>
    </w:lvl>
  </w:abstractNum>
  <w:abstractNum w:abstractNumId="5">
    <w:nsid w:val="194050C2"/>
    <w:multiLevelType w:val="hybridMultilevel"/>
    <w:tmpl w:val="DB9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B75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3DE21B2"/>
    <w:multiLevelType w:val="multilevel"/>
    <w:tmpl w:val="AB80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19A2"/>
    <w:multiLevelType w:val="hybridMultilevel"/>
    <w:tmpl w:val="03A88CF8"/>
    <w:lvl w:ilvl="0" w:tplc="5DC008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7147030"/>
    <w:multiLevelType w:val="hybridMultilevel"/>
    <w:tmpl w:val="741E3C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E539C"/>
    <w:multiLevelType w:val="multilevel"/>
    <w:tmpl w:val="B45E2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437FBD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E7458C"/>
    <w:multiLevelType w:val="hybridMultilevel"/>
    <w:tmpl w:val="AAAC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411E"/>
    <w:multiLevelType w:val="multilevel"/>
    <w:tmpl w:val="E14C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D7D46"/>
    <w:multiLevelType w:val="hybridMultilevel"/>
    <w:tmpl w:val="67A0EB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834F5"/>
    <w:multiLevelType w:val="hybridMultilevel"/>
    <w:tmpl w:val="C5340F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912297"/>
    <w:multiLevelType w:val="multilevel"/>
    <w:tmpl w:val="0EB8E57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1C44EAA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46E629F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A736F21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6F367E4"/>
    <w:multiLevelType w:val="hybridMultilevel"/>
    <w:tmpl w:val="D876E352"/>
    <w:lvl w:ilvl="0" w:tplc="48CC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4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8D63DC"/>
    <w:multiLevelType w:val="multilevel"/>
    <w:tmpl w:val="703AD9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956AD7"/>
    <w:multiLevelType w:val="multilevel"/>
    <w:tmpl w:val="F3A6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E62EF"/>
    <w:multiLevelType w:val="hybridMultilevel"/>
    <w:tmpl w:val="9116A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A1353C"/>
    <w:multiLevelType w:val="multilevel"/>
    <w:tmpl w:val="4D6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8"/>
  </w:num>
  <w:num w:numId="5">
    <w:abstractNumId w:val="4"/>
  </w:num>
  <w:num w:numId="6">
    <w:abstractNumId w:val="21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19"/>
  </w:num>
  <w:num w:numId="14">
    <w:abstractNumId w:val="9"/>
  </w:num>
  <w:num w:numId="15">
    <w:abstractNumId w:val="6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23"/>
  </w:num>
  <w:num w:numId="22">
    <w:abstractNumId w:val="20"/>
  </w:num>
  <w:num w:numId="23">
    <w:abstractNumId w:val="0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F"/>
    <w:rsid w:val="00011369"/>
    <w:rsid w:val="00016457"/>
    <w:rsid w:val="000745EA"/>
    <w:rsid w:val="000942B0"/>
    <w:rsid w:val="00106E6C"/>
    <w:rsid w:val="0011507C"/>
    <w:rsid w:val="00117949"/>
    <w:rsid w:val="001363AC"/>
    <w:rsid w:val="00174A4B"/>
    <w:rsid w:val="0018758D"/>
    <w:rsid w:val="001A51AA"/>
    <w:rsid w:val="001A6429"/>
    <w:rsid w:val="001E42D2"/>
    <w:rsid w:val="00217780"/>
    <w:rsid w:val="002413FF"/>
    <w:rsid w:val="002469D2"/>
    <w:rsid w:val="0026230C"/>
    <w:rsid w:val="002A30B2"/>
    <w:rsid w:val="002B7C2D"/>
    <w:rsid w:val="00302EB0"/>
    <w:rsid w:val="00307826"/>
    <w:rsid w:val="00310E58"/>
    <w:rsid w:val="00313393"/>
    <w:rsid w:val="00365FAE"/>
    <w:rsid w:val="003739AB"/>
    <w:rsid w:val="00375547"/>
    <w:rsid w:val="003968F4"/>
    <w:rsid w:val="003A1484"/>
    <w:rsid w:val="003C0B53"/>
    <w:rsid w:val="003C3DCF"/>
    <w:rsid w:val="003D0D4F"/>
    <w:rsid w:val="003D2630"/>
    <w:rsid w:val="003E5345"/>
    <w:rsid w:val="003F6352"/>
    <w:rsid w:val="003F68A8"/>
    <w:rsid w:val="00423E67"/>
    <w:rsid w:val="00436C42"/>
    <w:rsid w:val="00437154"/>
    <w:rsid w:val="0044637F"/>
    <w:rsid w:val="00477D0E"/>
    <w:rsid w:val="004C0244"/>
    <w:rsid w:val="004E17E3"/>
    <w:rsid w:val="004E4172"/>
    <w:rsid w:val="0051683C"/>
    <w:rsid w:val="00525C30"/>
    <w:rsid w:val="00553D77"/>
    <w:rsid w:val="00556F0D"/>
    <w:rsid w:val="005B52EF"/>
    <w:rsid w:val="005C58D8"/>
    <w:rsid w:val="005D3793"/>
    <w:rsid w:val="005F40AC"/>
    <w:rsid w:val="006172DF"/>
    <w:rsid w:val="006746E1"/>
    <w:rsid w:val="0068251C"/>
    <w:rsid w:val="00682567"/>
    <w:rsid w:val="006A3BCA"/>
    <w:rsid w:val="00743A48"/>
    <w:rsid w:val="0075161A"/>
    <w:rsid w:val="0076708F"/>
    <w:rsid w:val="007B7421"/>
    <w:rsid w:val="007C4A6D"/>
    <w:rsid w:val="007E41A2"/>
    <w:rsid w:val="007E7BD0"/>
    <w:rsid w:val="007F56FB"/>
    <w:rsid w:val="0087114A"/>
    <w:rsid w:val="00872542"/>
    <w:rsid w:val="008742DA"/>
    <w:rsid w:val="0089702F"/>
    <w:rsid w:val="008A4113"/>
    <w:rsid w:val="008C63D9"/>
    <w:rsid w:val="008C6A83"/>
    <w:rsid w:val="008D14A2"/>
    <w:rsid w:val="008F1C72"/>
    <w:rsid w:val="00926249"/>
    <w:rsid w:val="00934DFC"/>
    <w:rsid w:val="009359CB"/>
    <w:rsid w:val="00937E27"/>
    <w:rsid w:val="00943E9F"/>
    <w:rsid w:val="009709E4"/>
    <w:rsid w:val="009879D6"/>
    <w:rsid w:val="009C46E1"/>
    <w:rsid w:val="009C5902"/>
    <w:rsid w:val="009D17EC"/>
    <w:rsid w:val="00A02226"/>
    <w:rsid w:val="00A266A8"/>
    <w:rsid w:val="00A44119"/>
    <w:rsid w:val="00AB2CD1"/>
    <w:rsid w:val="00AC7AA1"/>
    <w:rsid w:val="00AE5F43"/>
    <w:rsid w:val="00B06EF3"/>
    <w:rsid w:val="00B10CAB"/>
    <w:rsid w:val="00B1166F"/>
    <w:rsid w:val="00B21621"/>
    <w:rsid w:val="00B2795F"/>
    <w:rsid w:val="00B335E1"/>
    <w:rsid w:val="00B56E10"/>
    <w:rsid w:val="00B87C37"/>
    <w:rsid w:val="00BA1635"/>
    <w:rsid w:val="00BB677B"/>
    <w:rsid w:val="00BC1AE8"/>
    <w:rsid w:val="00BD0551"/>
    <w:rsid w:val="00BF6179"/>
    <w:rsid w:val="00BF6921"/>
    <w:rsid w:val="00BF7BF7"/>
    <w:rsid w:val="00C05C10"/>
    <w:rsid w:val="00C05CD8"/>
    <w:rsid w:val="00C1498E"/>
    <w:rsid w:val="00C2548B"/>
    <w:rsid w:val="00C65D55"/>
    <w:rsid w:val="00C942B4"/>
    <w:rsid w:val="00C94FB7"/>
    <w:rsid w:val="00CB7229"/>
    <w:rsid w:val="00CD1D86"/>
    <w:rsid w:val="00CD33FC"/>
    <w:rsid w:val="00CD5FF0"/>
    <w:rsid w:val="00D51E2D"/>
    <w:rsid w:val="00D63F80"/>
    <w:rsid w:val="00D75B12"/>
    <w:rsid w:val="00DA4A6C"/>
    <w:rsid w:val="00DC0429"/>
    <w:rsid w:val="00DC2DD2"/>
    <w:rsid w:val="00DE58A8"/>
    <w:rsid w:val="00E03D5A"/>
    <w:rsid w:val="00E333AC"/>
    <w:rsid w:val="00E35AE0"/>
    <w:rsid w:val="00E70744"/>
    <w:rsid w:val="00E82A1D"/>
    <w:rsid w:val="00E83D03"/>
    <w:rsid w:val="00E92FC0"/>
    <w:rsid w:val="00EA0399"/>
    <w:rsid w:val="00EA624D"/>
    <w:rsid w:val="00ED1BDF"/>
    <w:rsid w:val="00EE1C46"/>
    <w:rsid w:val="00EE5DCD"/>
    <w:rsid w:val="00EF442F"/>
    <w:rsid w:val="00F1667D"/>
    <w:rsid w:val="00F217A1"/>
    <w:rsid w:val="00F25E63"/>
    <w:rsid w:val="00F51208"/>
    <w:rsid w:val="00F51950"/>
    <w:rsid w:val="00F5696D"/>
    <w:rsid w:val="00F7365D"/>
    <w:rsid w:val="00FA589D"/>
    <w:rsid w:val="00FB37C1"/>
    <w:rsid w:val="00FF30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2"/>
    <w:pPr>
      <w:ind w:left="720"/>
      <w:contextualSpacing/>
    </w:pPr>
  </w:style>
  <w:style w:type="table" w:styleId="a4">
    <w:name w:val="Table Grid"/>
    <w:basedOn w:val="a1"/>
    <w:uiPriority w:val="59"/>
    <w:rsid w:val="008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t-p">
    <w:name w:val="dt-p"/>
    <w:basedOn w:val="a"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F80"/>
    <w:rPr>
      <w:b/>
      <w:bCs/>
    </w:rPr>
  </w:style>
  <w:style w:type="paragraph" w:styleId="a8">
    <w:name w:val="header"/>
    <w:basedOn w:val="a"/>
    <w:link w:val="a9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542"/>
  </w:style>
  <w:style w:type="paragraph" w:styleId="aa">
    <w:name w:val="footer"/>
    <w:basedOn w:val="a"/>
    <w:link w:val="ab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542"/>
  </w:style>
  <w:style w:type="paragraph" w:styleId="ac">
    <w:name w:val="Balloon Text"/>
    <w:basedOn w:val="a"/>
    <w:link w:val="ad"/>
    <w:uiPriority w:val="99"/>
    <w:semiHidden/>
    <w:unhideWhenUsed/>
    <w:rsid w:val="008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2"/>
    <w:pPr>
      <w:ind w:left="720"/>
      <w:contextualSpacing/>
    </w:pPr>
  </w:style>
  <w:style w:type="table" w:styleId="a4">
    <w:name w:val="Table Grid"/>
    <w:basedOn w:val="a1"/>
    <w:uiPriority w:val="59"/>
    <w:rsid w:val="008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t-p">
    <w:name w:val="dt-p"/>
    <w:basedOn w:val="a"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F80"/>
    <w:rPr>
      <w:b/>
      <w:bCs/>
    </w:rPr>
  </w:style>
  <w:style w:type="paragraph" w:styleId="a8">
    <w:name w:val="header"/>
    <w:basedOn w:val="a"/>
    <w:link w:val="a9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542"/>
  </w:style>
  <w:style w:type="paragraph" w:styleId="aa">
    <w:name w:val="footer"/>
    <w:basedOn w:val="a"/>
    <w:link w:val="ab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542"/>
  </w:style>
  <w:style w:type="paragraph" w:styleId="ac">
    <w:name w:val="Balloon Text"/>
    <w:basedOn w:val="a"/>
    <w:link w:val="ad"/>
    <w:uiPriority w:val="99"/>
    <w:semiHidden/>
    <w:unhideWhenUsed/>
    <w:rsid w:val="008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podgornaya</dc:creator>
  <cp:lastModifiedBy>Елена</cp:lastModifiedBy>
  <cp:revision>10</cp:revision>
  <cp:lastPrinted>2023-11-23T07:17:00Z</cp:lastPrinted>
  <dcterms:created xsi:type="dcterms:W3CDTF">2023-11-21T12:17:00Z</dcterms:created>
  <dcterms:modified xsi:type="dcterms:W3CDTF">2023-11-23T07:24:00Z</dcterms:modified>
</cp:coreProperties>
</file>